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CBD" w:rsidRPr="00FC5AC6" w:rsidRDefault="00304CBD" w:rsidP="00304CBD">
      <w:pPr>
        <w:pStyle w:val="Heading1"/>
        <w:jc w:val="center"/>
      </w:pPr>
      <w:bookmarkStart w:id="0" w:name="_Toc343591381"/>
      <w:r w:rsidRPr="00FC5AC6">
        <w:t>SCHEDULE 2 – THE SERVICES</w:t>
      </w:r>
      <w:bookmarkEnd w:id="0"/>
    </w:p>
    <w:p w:rsidR="00304CBD" w:rsidRPr="006E67E3" w:rsidRDefault="00304CBD" w:rsidP="00304CBD">
      <w:pPr>
        <w:spacing w:after="0"/>
        <w:jc w:val="center"/>
        <w:rPr>
          <w:rFonts w:ascii="Arial" w:hAnsi="Arial" w:cs="Arial"/>
          <w:b/>
        </w:rPr>
      </w:pPr>
    </w:p>
    <w:p w:rsidR="00304CBD" w:rsidRPr="006E67E3" w:rsidRDefault="00304CBD" w:rsidP="00304CBD">
      <w:pPr>
        <w:pStyle w:val="ListParagraph"/>
        <w:numPr>
          <w:ilvl w:val="0"/>
          <w:numId w:val="1"/>
        </w:numPr>
        <w:ind w:left="0" w:firstLine="0"/>
        <w:contextualSpacing/>
        <w:jc w:val="center"/>
        <w:outlineLvl w:val="1"/>
        <w:rPr>
          <w:rFonts w:ascii="Arial" w:hAnsi="Arial" w:cs="Arial"/>
          <w:b/>
        </w:rPr>
      </w:pPr>
      <w:bookmarkStart w:id="1" w:name="_Toc343591382"/>
      <w:r w:rsidRPr="006E67E3">
        <w:rPr>
          <w:rFonts w:ascii="Arial" w:hAnsi="Arial" w:cs="Arial"/>
          <w:b/>
        </w:rPr>
        <w:t>Service Specifications</w:t>
      </w:r>
      <w:bookmarkEnd w:id="1"/>
    </w:p>
    <w:p w:rsidR="00304CBD" w:rsidRDefault="00304CBD" w:rsidP="00304CBD">
      <w:pPr>
        <w:shd w:val="clear" w:color="auto" w:fill="FFFFFF" w:themeFill="background1"/>
        <w:spacing w:after="0"/>
        <w:jc w:val="both"/>
        <w:rPr>
          <w:rFonts w:ascii="Arial" w:hAnsi="Arial" w:cs="Arial"/>
          <w:sz w:val="20"/>
        </w:rPr>
      </w:pPr>
    </w:p>
    <w:p w:rsidR="00304CBD" w:rsidRDefault="00304CBD" w:rsidP="00304CBD">
      <w:pPr>
        <w:shd w:val="clear" w:color="auto" w:fill="FFFFFF" w:themeFill="background1"/>
        <w:spacing w:after="0"/>
        <w:jc w:val="both"/>
        <w:rPr>
          <w:rFonts w:ascii="Arial" w:hAnsi="Arial" w:cs="Arial"/>
          <w:sz w:val="20"/>
        </w:rPr>
      </w:pPr>
      <w:r>
        <w:rPr>
          <w:rFonts w:ascii="Arial" w:hAnsi="Arial" w:cs="Arial"/>
          <w:sz w:val="20"/>
        </w:rPr>
        <w:t>Mandatory headings 1 – 4: mandatory but detail for local determination and agreement</w:t>
      </w:r>
    </w:p>
    <w:p w:rsidR="00304CBD" w:rsidRDefault="00304CBD" w:rsidP="00304CBD">
      <w:pPr>
        <w:shd w:val="clear" w:color="auto" w:fill="FFFFFF" w:themeFill="background1"/>
        <w:spacing w:after="0"/>
        <w:jc w:val="both"/>
        <w:rPr>
          <w:rFonts w:ascii="Arial" w:hAnsi="Arial" w:cs="Arial"/>
          <w:sz w:val="20"/>
        </w:rPr>
      </w:pPr>
      <w:r>
        <w:rPr>
          <w:rFonts w:ascii="Arial" w:hAnsi="Arial" w:cs="Arial"/>
          <w:sz w:val="20"/>
        </w:rPr>
        <w:t>Optional headings 5-7: optional to use, detail for local determination and agreement.</w:t>
      </w:r>
    </w:p>
    <w:p w:rsidR="00304CBD" w:rsidRDefault="00304CBD" w:rsidP="00304CBD">
      <w:pPr>
        <w:spacing w:after="0"/>
        <w:jc w:val="both"/>
        <w:rPr>
          <w:rFonts w:ascii="Arial" w:hAnsi="Arial" w:cs="Arial"/>
          <w:sz w:val="20"/>
        </w:rPr>
      </w:pPr>
    </w:p>
    <w:p w:rsidR="00304CBD" w:rsidRDefault="00304CBD" w:rsidP="00304CBD">
      <w:pPr>
        <w:shd w:val="clear" w:color="auto" w:fill="FFFFFF" w:themeFill="background1"/>
        <w:spacing w:after="0"/>
        <w:jc w:val="both"/>
        <w:rPr>
          <w:rFonts w:ascii="Arial" w:hAnsi="Arial" w:cs="Arial"/>
          <w:sz w:val="20"/>
        </w:rPr>
      </w:pPr>
      <w:r>
        <w:rPr>
          <w:rFonts w:ascii="Arial" w:hAnsi="Arial" w:cs="Arial"/>
          <w:sz w:val="20"/>
        </w:rPr>
        <w:t>All subheadings for local determination and agreement</w:t>
      </w:r>
    </w:p>
    <w:p w:rsidR="00304CBD" w:rsidRDefault="00304CBD" w:rsidP="00304CBD">
      <w:pPr>
        <w:spacing w:after="0"/>
        <w:jc w:val="both"/>
        <w:rPr>
          <w:rFonts w:ascii="Arial" w:hAnsi="Arial" w:cs="Arial"/>
          <w:sz w:val="20"/>
        </w:rPr>
      </w:pPr>
    </w:p>
    <w:p w:rsidR="00304CBD" w:rsidRDefault="00304CBD" w:rsidP="00304CBD">
      <w:pPr>
        <w:spacing w:after="0"/>
        <w:jc w:val="both"/>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5444"/>
      </w:tblGrid>
      <w:tr w:rsidR="00304CBD" w:rsidRPr="00DF4267" w:rsidTr="00FF146C">
        <w:tc>
          <w:tcPr>
            <w:tcW w:w="2970" w:type="dxa"/>
            <w:shd w:val="clear" w:color="auto" w:fill="595959"/>
          </w:tcPr>
          <w:p w:rsidR="00304CBD" w:rsidRPr="00B5552C" w:rsidRDefault="00304CBD" w:rsidP="00FF146C">
            <w:pPr>
              <w:spacing w:after="0" w:line="360" w:lineRule="auto"/>
              <w:rPr>
                <w:rFonts w:ascii="Arial" w:hAnsi="Arial" w:cs="Arial"/>
                <w:b/>
                <w:color w:val="F79646"/>
              </w:rPr>
            </w:pPr>
            <w:r w:rsidRPr="00B5552C">
              <w:rPr>
                <w:rFonts w:ascii="Arial" w:hAnsi="Arial" w:cs="Arial"/>
                <w:b/>
                <w:color w:val="F79646"/>
              </w:rPr>
              <w:t>Service Specification No.</w:t>
            </w:r>
          </w:p>
        </w:tc>
        <w:tc>
          <w:tcPr>
            <w:tcW w:w="5444" w:type="dxa"/>
            <w:shd w:val="clear" w:color="auto" w:fill="auto"/>
          </w:tcPr>
          <w:p w:rsidR="00304CBD" w:rsidRPr="00030034" w:rsidRDefault="00920F53" w:rsidP="00FF146C">
            <w:pPr>
              <w:spacing w:after="0"/>
              <w:rPr>
                <w:rFonts w:ascii="Arial" w:hAnsi="Arial" w:cs="Arial"/>
                <w:sz w:val="20"/>
              </w:rPr>
            </w:pPr>
            <w:r>
              <w:rPr>
                <w:rFonts w:ascii="Arial" w:hAnsi="Arial" w:cs="Arial"/>
                <w:sz w:val="20"/>
              </w:rPr>
              <w:t>SESSP9</w:t>
            </w:r>
          </w:p>
        </w:tc>
      </w:tr>
      <w:tr w:rsidR="00304CBD" w:rsidRPr="00DF4267" w:rsidTr="00FF146C">
        <w:tc>
          <w:tcPr>
            <w:tcW w:w="2970" w:type="dxa"/>
            <w:shd w:val="clear" w:color="auto" w:fill="595959"/>
          </w:tcPr>
          <w:p w:rsidR="00304CBD" w:rsidRPr="00B5552C" w:rsidRDefault="00304CBD" w:rsidP="00FF146C">
            <w:pPr>
              <w:spacing w:after="0" w:line="360" w:lineRule="auto"/>
              <w:rPr>
                <w:rFonts w:ascii="Arial" w:hAnsi="Arial" w:cs="Arial"/>
                <w:b/>
                <w:color w:val="F79646"/>
              </w:rPr>
            </w:pPr>
            <w:r w:rsidRPr="00B5552C">
              <w:rPr>
                <w:rFonts w:ascii="Arial" w:hAnsi="Arial" w:cs="Arial"/>
                <w:b/>
                <w:color w:val="F79646"/>
              </w:rPr>
              <w:t>Service</w:t>
            </w:r>
          </w:p>
        </w:tc>
        <w:tc>
          <w:tcPr>
            <w:tcW w:w="5444" w:type="dxa"/>
            <w:shd w:val="clear" w:color="auto" w:fill="auto"/>
          </w:tcPr>
          <w:p w:rsidR="00304CBD" w:rsidRPr="00B47D6A" w:rsidRDefault="00920F53" w:rsidP="00920F53">
            <w:pPr>
              <w:tabs>
                <w:tab w:val="left" w:pos="720"/>
              </w:tabs>
              <w:rPr>
                <w:rFonts w:ascii="Calibri" w:hAnsi="Calibri" w:cs="Calibri"/>
                <w:szCs w:val="22"/>
              </w:rPr>
            </w:pPr>
            <w:r>
              <w:rPr>
                <w:rFonts w:ascii="Calibri" w:hAnsi="Calibri" w:cs="Calibri"/>
                <w:sz w:val="22"/>
                <w:szCs w:val="22"/>
              </w:rPr>
              <w:t>PSA Monitoring</w:t>
            </w:r>
            <w:r w:rsidRPr="00B47D6A">
              <w:rPr>
                <w:rFonts w:ascii="Calibri" w:hAnsi="Calibri" w:cs="Calibri"/>
                <w:sz w:val="22"/>
                <w:szCs w:val="22"/>
              </w:rPr>
              <w:t xml:space="preserve"> </w:t>
            </w:r>
            <w:r>
              <w:rPr>
                <w:rFonts w:ascii="Calibri" w:hAnsi="Calibri" w:cs="Calibri"/>
                <w:sz w:val="22"/>
                <w:szCs w:val="22"/>
              </w:rPr>
              <w:t xml:space="preserve"> - </w:t>
            </w:r>
            <w:r w:rsidR="00304CBD" w:rsidRPr="00B47D6A">
              <w:rPr>
                <w:rFonts w:ascii="Calibri" w:hAnsi="Calibri" w:cs="Calibri"/>
                <w:sz w:val="22"/>
                <w:szCs w:val="22"/>
              </w:rPr>
              <w:t>STABLE PROSTATE CANCER</w:t>
            </w:r>
          </w:p>
        </w:tc>
      </w:tr>
      <w:tr w:rsidR="00920F53" w:rsidRPr="00DF4267" w:rsidTr="00FF146C">
        <w:tc>
          <w:tcPr>
            <w:tcW w:w="2970" w:type="dxa"/>
            <w:shd w:val="clear" w:color="auto" w:fill="595959"/>
          </w:tcPr>
          <w:p w:rsidR="00920F53" w:rsidRPr="00B5552C" w:rsidRDefault="00920F53" w:rsidP="00FF146C">
            <w:pPr>
              <w:spacing w:after="0" w:line="360" w:lineRule="auto"/>
              <w:rPr>
                <w:rFonts w:ascii="Arial" w:hAnsi="Arial" w:cs="Arial"/>
                <w:b/>
                <w:color w:val="F79646"/>
              </w:rPr>
            </w:pPr>
            <w:r w:rsidRPr="00B5552C">
              <w:rPr>
                <w:rFonts w:ascii="Arial" w:hAnsi="Arial" w:cs="Arial"/>
                <w:b/>
                <w:color w:val="F79646"/>
              </w:rPr>
              <w:t>Commissioner Lead</w:t>
            </w:r>
          </w:p>
        </w:tc>
        <w:tc>
          <w:tcPr>
            <w:tcW w:w="5444" w:type="dxa"/>
            <w:shd w:val="clear" w:color="auto" w:fill="auto"/>
          </w:tcPr>
          <w:p w:rsidR="00920F53" w:rsidRDefault="00920F53" w:rsidP="007660DB">
            <w:pPr>
              <w:spacing w:after="0"/>
              <w:rPr>
                <w:rFonts w:ascii="Arial" w:hAnsi="Arial" w:cs="Arial"/>
                <w:sz w:val="20"/>
              </w:rPr>
            </w:pPr>
            <w:r w:rsidRPr="00920F53">
              <w:rPr>
                <w:rFonts w:ascii="Arial" w:hAnsi="Arial" w:cs="Arial"/>
                <w:sz w:val="20"/>
              </w:rPr>
              <w:t>HEFT – Mr. Manu Nair and Neil Rogers</w:t>
            </w:r>
          </w:p>
          <w:p w:rsidR="00920F53" w:rsidRPr="00030034" w:rsidRDefault="00920F53" w:rsidP="007660DB">
            <w:pPr>
              <w:spacing w:after="0"/>
              <w:rPr>
                <w:rFonts w:ascii="Arial" w:hAnsi="Arial" w:cs="Arial"/>
                <w:sz w:val="20"/>
              </w:rPr>
            </w:pPr>
            <w:r>
              <w:rPr>
                <w:rFonts w:ascii="Arial" w:hAnsi="Arial" w:cs="Arial"/>
                <w:sz w:val="20"/>
              </w:rPr>
              <w:t>South East Staffordshire and Seisdon Peninsula CCG</w:t>
            </w:r>
          </w:p>
        </w:tc>
      </w:tr>
      <w:tr w:rsidR="00920F53" w:rsidRPr="00DF4267" w:rsidTr="00FF146C">
        <w:tc>
          <w:tcPr>
            <w:tcW w:w="2970" w:type="dxa"/>
            <w:shd w:val="clear" w:color="auto" w:fill="595959"/>
          </w:tcPr>
          <w:p w:rsidR="00920F53" w:rsidRPr="00B5552C" w:rsidRDefault="00920F53" w:rsidP="00FF146C">
            <w:pPr>
              <w:spacing w:after="0" w:line="360" w:lineRule="auto"/>
              <w:rPr>
                <w:rFonts w:ascii="Arial" w:hAnsi="Arial" w:cs="Arial"/>
                <w:b/>
                <w:color w:val="F79646"/>
              </w:rPr>
            </w:pPr>
            <w:r w:rsidRPr="00B5552C">
              <w:rPr>
                <w:rFonts w:ascii="Arial" w:hAnsi="Arial" w:cs="Arial"/>
                <w:b/>
                <w:color w:val="F79646"/>
              </w:rPr>
              <w:t>Provider Lead</w:t>
            </w:r>
          </w:p>
        </w:tc>
        <w:tc>
          <w:tcPr>
            <w:tcW w:w="5444" w:type="dxa"/>
            <w:shd w:val="clear" w:color="auto" w:fill="auto"/>
          </w:tcPr>
          <w:p w:rsidR="00920F53" w:rsidRPr="00B47D6A" w:rsidRDefault="00920F53" w:rsidP="00FF146C">
            <w:pPr>
              <w:tabs>
                <w:tab w:val="left" w:pos="720"/>
              </w:tabs>
              <w:rPr>
                <w:rFonts w:ascii="Calibri" w:hAnsi="Calibri" w:cs="Calibri"/>
                <w:szCs w:val="22"/>
              </w:rPr>
            </w:pPr>
          </w:p>
        </w:tc>
      </w:tr>
      <w:tr w:rsidR="00920F53" w:rsidRPr="00DF4267" w:rsidTr="00FF146C">
        <w:tc>
          <w:tcPr>
            <w:tcW w:w="2970" w:type="dxa"/>
            <w:shd w:val="clear" w:color="auto" w:fill="595959"/>
          </w:tcPr>
          <w:p w:rsidR="00920F53" w:rsidRPr="00B5552C" w:rsidRDefault="00920F53" w:rsidP="00FF146C">
            <w:pPr>
              <w:spacing w:after="0" w:line="360" w:lineRule="auto"/>
              <w:rPr>
                <w:rFonts w:ascii="Arial" w:hAnsi="Arial" w:cs="Arial"/>
                <w:b/>
                <w:color w:val="F79646"/>
              </w:rPr>
            </w:pPr>
            <w:r w:rsidRPr="00B5552C">
              <w:rPr>
                <w:rFonts w:ascii="Arial" w:hAnsi="Arial" w:cs="Arial"/>
                <w:b/>
                <w:color w:val="F79646"/>
              </w:rPr>
              <w:t>Period</w:t>
            </w:r>
          </w:p>
        </w:tc>
        <w:tc>
          <w:tcPr>
            <w:tcW w:w="5444" w:type="dxa"/>
            <w:shd w:val="clear" w:color="auto" w:fill="auto"/>
          </w:tcPr>
          <w:p w:rsidR="00920F53" w:rsidRPr="00B47D6A" w:rsidRDefault="00920F53" w:rsidP="00304CBD">
            <w:pPr>
              <w:tabs>
                <w:tab w:val="left" w:pos="720"/>
              </w:tabs>
              <w:rPr>
                <w:rFonts w:ascii="Calibri" w:hAnsi="Calibri" w:cs="Calibri"/>
                <w:szCs w:val="22"/>
              </w:rPr>
            </w:pPr>
            <w:r>
              <w:rPr>
                <w:rFonts w:ascii="Calibri" w:hAnsi="Calibri" w:cs="Calibri"/>
                <w:sz w:val="22"/>
                <w:szCs w:val="22"/>
              </w:rPr>
              <w:t>2014/</w:t>
            </w:r>
            <w:r w:rsidRPr="00B47D6A">
              <w:rPr>
                <w:rFonts w:ascii="Calibri" w:hAnsi="Calibri" w:cs="Calibri"/>
                <w:sz w:val="22"/>
                <w:szCs w:val="22"/>
              </w:rPr>
              <w:t>1</w:t>
            </w:r>
            <w:r>
              <w:rPr>
                <w:rFonts w:ascii="Calibri" w:hAnsi="Calibri" w:cs="Calibri"/>
                <w:sz w:val="22"/>
                <w:szCs w:val="22"/>
              </w:rPr>
              <w:t>5</w:t>
            </w:r>
            <w:bookmarkStart w:id="2" w:name="_GoBack"/>
            <w:bookmarkEnd w:id="2"/>
          </w:p>
        </w:tc>
      </w:tr>
      <w:tr w:rsidR="00920F53" w:rsidRPr="00DF4267" w:rsidTr="00FF146C">
        <w:tc>
          <w:tcPr>
            <w:tcW w:w="2970" w:type="dxa"/>
            <w:shd w:val="clear" w:color="auto" w:fill="595959"/>
          </w:tcPr>
          <w:p w:rsidR="00920F53" w:rsidRPr="00B5552C" w:rsidRDefault="00920F53" w:rsidP="00FF146C">
            <w:pPr>
              <w:spacing w:after="0" w:line="360" w:lineRule="auto"/>
              <w:rPr>
                <w:rFonts w:ascii="Arial" w:hAnsi="Arial" w:cs="Arial"/>
                <w:b/>
                <w:color w:val="F79646"/>
              </w:rPr>
            </w:pPr>
            <w:r w:rsidRPr="00B5552C">
              <w:rPr>
                <w:rFonts w:ascii="Arial" w:hAnsi="Arial" w:cs="Arial"/>
                <w:b/>
                <w:color w:val="F79646"/>
              </w:rPr>
              <w:t>Date of Review</w:t>
            </w:r>
          </w:p>
        </w:tc>
        <w:tc>
          <w:tcPr>
            <w:tcW w:w="5444" w:type="dxa"/>
            <w:shd w:val="clear" w:color="auto" w:fill="auto"/>
          </w:tcPr>
          <w:p w:rsidR="00920F53" w:rsidRPr="00B47D6A" w:rsidRDefault="00920F53" w:rsidP="00712302">
            <w:pPr>
              <w:tabs>
                <w:tab w:val="left" w:pos="720"/>
              </w:tabs>
              <w:rPr>
                <w:rFonts w:ascii="Calibri" w:hAnsi="Calibri" w:cs="Calibri"/>
                <w:szCs w:val="22"/>
              </w:rPr>
            </w:pPr>
            <w:r w:rsidRPr="00B47D6A">
              <w:rPr>
                <w:rFonts w:ascii="Calibri" w:hAnsi="Calibri" w:cs="Calibri"/>
                <w:sz w:val="22"/>
                <w:szCs w:val="22"/>
              </w:rPr>
              <w:t xml:space="preserve">1 </w:t>
            </w:r>
            <w:r>
              <w:rPr>
                <w:rFonts w:ascii="Calibri" w:hAnsi="Calibri" w:cs="Calibri"/>
                <w:sz w:val="22"/>
                <w:szCs w:val="22"/>
              </w:rPr>
              <w:t xml:space="preserve">November </w:t>
            </w:r>
            <w:r w:rsidRPr="00B47D6A">
              <w:rPr>
                <w:rFonts w:ascii="Calibri" w:hAnsi="Calibri" w:cs="Calibri"/>
                <w:sz w:val="22"/>
                <w:szCs w:val="22"/>
              </w:rPr>
              <w:t>2014</w:t>
            </w:r>
          </w:p>
        </w:tc>
      </w:tr>
    </w:tbl>
    <w:p w:rsidR="00304CBD" w:rsidRPr="00E436D2" w:rsidRDefault="00304CBD" w:rsidP="00304CBD">
      <w:pPr>
        <w:spacing w:after="0"/>
        <w:jc w:val="center"/>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304CBD" w:rsidRPr="00B5552C" w:rsidTr="00FF146C">
        <w:tc>
          <w:tcPr>
            <w:tcW w:w="8414" w:type="dxa"/>
            <w:shd w:val="clear" w:color="auto" w:fill="595959"/>
          </w:tcPr>
          <w:p w:rsidR="00304CBD" w:rsidRPr="00B5552C" w:rsidRDefault="00304CBD" w:rsidP="00FF146C">
            <w:pPr>
              <w:spacing w:after="0" w:line="276" w:lineRule="auto"/>
              <w:rPr>
                <w:rFonts w:ascii="Arial" w:hAnsi="Arial" w:cs="Arial"/>
                <w:b/>
                <w:color w:val="F79646"/>
              </w:rPr>
            </w:pPr>
            <w:r w:rsidRPr="00B5552C">
              <w:rPr>
                <w:rFonts w:ascii="Arial" w:hAnsi="Arial" w:cs="Arial"/>
                <w:b/>
                <w:color w:val="F79646"/>
              </w:rPr>
              <w:t>1.</w:t>
            </w:r>
            <w:r w:rsidRPr="00B5552C">
              <w:rPr>
                <w:rFonts w:ascii="Arial" w:hAnsi="Arial" w:cs="Arial"/>
                <w:b/>
                <w:color w:val="F79646"/>
              </w:rPr>
              <w:tab/>
              <w:t>Population Needs</w:t>
            </w:r>
          </w:p>
        </w:tc>
      </w:tr>
      <w:tr w:rsidR="00304CBD" w:rsidRPr="00512021" w:rsidTr="00FF146C">
        <w:tc>
          <w:tcPr>
            <w:tcW w:w="8414" w:type="dxa"/>
            <w:shd w:val="clear" w:color="auto" w:fill="auto"/>
          </w:tcPr>
          <w:p w:rsidR="00304CBD" w:rsidRPr="00390A2D" w:rsidRDefault="00304CBD" w:rsidP="00FF146C">
            <w:pPr>
              <w:spacing w:after="0"/>
              <w:ind w:left="360"/>
              <w:rPr>
                <w:rFonts w:ascii="Arial" w:hAnsi="Arial" w:cs="Arial"/>
                <w:color w:val="009966"/>
                <w:sz w:val="20"/>
              </w:rPr>
            </w:pPr>
            <w:r w:rsidRPr="00390A2D">
              <w:rPr>
                <w:rFonts w:ascii="Arial" w:hAnsi="Arial" w:cs="Arial"/>
                <w:color w:val="009966"/>
                <w:sz w:val="20"/>
              </w:rPr>
              <w:tab/>
            </w:r>
          </w:p>
          <w:p w:rsidR="00304CBD" w:rsidRPr="00F47C01" w:rsidRDefault="00304CBD" w:rsidP="00304CBD">
            <w:pPr>
              <w:numPr>
                <w:ilvl w:val="1"/>
                <w:numId w:val="2"/>
              </w:numPr>
              <w:spacing w:after="0"/>
              <w:rPr>
                <w:rFonts w:ascii="Arial" w:hAnsi="Arial" w:cs="Arial"/>
                <w:b/>
                <w:color w:val="009966"/>
                <w:sz w:val="20"/>
              </w:rPr>
            </w:pPr>
            <w:r w:rsidRPr="00F47C01">
              <w:rPr>
                <w:rFonts w:ascii="Arial" w:hAnsi="Arial" w:cs="Arial"/>
                <w:b/>
                <w:color w:val="009966"/>
                <w:sz w:val="20"/>
              </w:rPr>
              <w:tab/>
              <w:t>National/local context and evidence base</w:t>
            </w:r>
          </w:p>
          <w:p w:rsidR="00304CBD" w:rsidRPr="00390A2D" w:rsidRDefault="00304CBD" w:rsidP="00FF146C">
            <w:pPr>
              <w:spacing w:after="0"/>
              <w:rPr>
                <w:rFonts w:ascii="Arial" w:hAnsi="Arial" w:cs="Arial"/>
                <w:color w:val="009966"/>
                <w:sz w:val="20"/>
              </w:rPr>
            </w:pPr>
          </w:p>
          <w:p w:rsidR="00712302" w:rsidRPr="00B47D6A" w:rsidRDefault="00712302" w:rsidP="00712302">
            <w:pPr>
              <w:ind w:left="709"/>
              <w:rPr>
                <w:rFonts w:ascii="Calibri" w:hAnsi="Calibri" w:cs="Calibri"/>
                <w:szCs w:val="22"/>
              </w:rPr>
            </w:pPr>
            <w:r w:rsidRPr="00B47D6A">
              <w:rPr>
                <w:rFonts w:ascii="Calibri" w:hAnsi="Calibri" w:cs="Calibri"/>
                <w:sz w:val="22"/>
                <w:szCs w:val="22"/>
              </w:rPr>
              <w:t>The proportion of the male population over 50 years has risen by 20% over the last 20 years and referrals to Secondary Care have been rising at 5-10% per annum. In addition there has been an increasing ‘medicalisation’ of urology as the pharmacology of the urinary tract has become better understood with increasing availability and ever improving drug armamentarium. As a result, over 80% of referrals into Secondary Care do not convert to inpatient or day surgery.</w:t>
            </w:r>
          </w:p>
          <w:p w:rsidR="00712302" w:rsidRPr="00B47D6A" w:rsidRDefault="00712302" w:rsidP="00712302">
            <w:pPr>
              <w:ind w:left="709"/>
              <w:rPr>
                <w:rFonts w:ascii="Calibri" w:hAnsi="Calibri" w:cs="Calibri"/>
                <w:szCs w:val="22"/>
              </w:rPr>
            </w:pPr>
            <w:r w:rsidRPr="00B47D6A">
              <w:rPr>
                <w:rFonts w:ascii="Calibri" w:hAnsi="Calibri" w:cs="Calibri"/>
                <w:sz w:val="22"/>
                <w:szCs w:val="22"/>
              </w:rPr>
              <w:t xml:space="preserve">Prostate cancer is one of the most common cancers in men. Every year there are in the region of 35,000 new cases in England and Wales and 10,000 deaths. </w:t>
            </w:r>
            <w:r>
              <w:rPr>
                <w:rFonts w:ascii="Calibri" w:hAnsi="Calibri" w:cs="Calibri"/>
                <w:sz w:val="22"/>
                <w:szCs w:val="22"/>
              </w:rPr>
              <w:t xml:space="preserve"> </w:t>
            </w:r>
            <w:r w:rsidRPr="00B47D6A">
              <w:rPr>
                <w:rFonts w:ascii="Calibri" w:hAnsi="Calibri" w:cs="Calibri"/>
                <w:sz w:val="22"/>
                <w:szCs w:val="22"/>
              </w:rPr>
              <w:t>Prostate cancer is predominantly a disease of older men but around 20% of cases occur in men under the age of 65 years.</w:t>
            </w:r>
          </w:p>
          <w:p w:rsidR="00712302" w:rsidRPr="00B47D6A" w:rsidRDefault="00712302" w:rsidP="00712302">
            <w:pPr>
              <w:ind w:left="709"/>
              <w:rPr>
                <w:rFonts w:ascii="Calibri" w:hAnsi="Calibri" w:cs="Calibri"/>
                <w:szCs w:val="22"/>
              </w:rPr>
            </w:pPr>
            <w:r w:rsidRPr="00B47D6A">
              <w:rPr>
                <w:rFonts w:ascii="Calibri" w:hAnsi="Calibri" w:cs="Calibri"/>
                <w:sz w:val="22"/>
                <w:szCs w:val="22"/>
              </w:rPr>
              <w:t xml:space="preserve">Around 70% of newly diagnosed men with prostate cancer now survive beyond </w:t>
            </w:r>
            <w:r>
              <w:rPr>
                <w:rFonts w:ascii="Calibri" w:hAnsi="Calibri" w:cs="Calibri"/>
                <w:sz w:val="22"/>
                <w:szCs w:val="22"/>
              </w:rPr>
              <w:t>five</w:t>
            </w:r>
            <w:r w:rsidRPr="00B47D6A">
              <w:rPr>
                <w:rFonts w:ascii="Calibri" w:hAnsi="Calibri" w:cs="Calibri"/>
                <w:sz w:val="22"/>
                <w:szCs w:val="22"/>
              </w:rPr>
              <w:t xml:space="preserve"> years and there are an estimated 215,000 men </w:t>
            </w:r>
            <w:r>
              <w:rPr>
                <w:rFonts w:ascii="Calibri" w:hAnsi="Calibri" w:cs="Calibri"/>
                <w:sz w:val="22"/>
                <w:szCs w:val="22"/>
              </w:rPr>
              <w:t>with prostate cancer in the UK.</w:t>
            </w:r>
          </w:p>
          <w:p w:rsidR="00304CBD" w:rsidRPr="00390A2D" w:rsidRDefault="00712302" w:rsidP="00712302">
            <w:pPr>
              <w:spacing w:after="0"/>
              <w:ind w:left="709"/>
              <w:rPr>
                <w:rFonts w:ascii="Arial" w:hAnsi="Arial" w:cs="Arial"/>
                <w:color w:val="009966"/>
                <w:sz w:val="20"/>
              </w:rPr>
            </w:pPr>
            <w:r w:rsidRPr="00B47D6A">
              <w:rPr>
                <w:rFonts w:ascii="Calibri" w:hAnsi="Calibri" w:cs="Calibri"/>
                <w:sz w:val="22"/>
                <w:szCs w:val="22"/>
              </w:rPr>
              <w:t xml:space="preserve">In </w:t>
            </w:r>
            <w:r w:rsidRPr="00B47D6A">
              <w:rPr>
                <w:rFonts w:ascii="Calibri" w:hAnsi="Calibri" w:cs="Calibri"/>
                <w:sz w:val="22"/>
                <w:szCs w:val="22"/>
                <w:u w:val="single"/>
              </w:rPr>
              <w:t>most</w:t>
            </w:r>
            <w:r w:rsidRPr="00B47D6A">
              <w:rPr>
                <w:rFonts w:ascii="Calibri" w:hAnsi="Calibri" w:cs="Calibri"/>
                <w:sz w:val="22"/>
                <w:szCs w:val="22"/>
              </w:rPr>
              <w:t xml:space="preserve"> cases GnRH Analogue management is the favoured treatment for prostate cancer.</w:t>
            </w:r>
          </w:p>
          <w:p w:rsidR="00304CBD" w:rsidRPr="00390A2D" w:rsidRDefault="00304CBD" w:rsidP="00FF146C">
            <w:pPr>
              <w:spacing w:after="0"/>
              <w:rPr>
                <w:rFonts w:ascii="Arial" w:hAnsi="Arial" w:cs="Arial"/>
                <w:color w:val="009966"/>
                <w:sz w:val="20"/>
              </w:rPr>
            </w:pPr>
          </w:p>
        </w:tc>
      </w:tr>
      <w:tr w:rsidR="00304CBD" w:rsidRPr="00B5552C" w:rsidTr="00FF146C">
        <w:tc>
          <w:tcPr>
            <w:tcW w:w="8414" w:type="dxa"/>
            <w:shd w:val="clear" w:color="auto" w:fill="595959"/>
          </w:tcPr>
          <w:p w:rsidR="00304CBD" w:rsidRPr="00B5552C" w:rsidRDefault="00304CBD" w:rsidP="00FF146C">
            <w:pPr>
              <w:spacing w:after="0" w:line="276" w:lineRule="auto"/>
              <w:rPr>
                <w:rFonts w:ascii="Arial" w:hAnsi="Arial" w:cs="Arial"/>
                <w:b/>
                <w:color w:val="F79646"/>
              </w:rPr>
            </w:pPr>
            <w:r w:rsidRPr="00B5552C">
              <w:rPr>
                <w:rFonts w:ascii="Arial" w:hAnsi="Arial" w:cs="Arial"/>
                <w:b/>
                <w:color w:val="F79646"/>
              </w:rPr>
              <w:t>2.</w:t>
            </w:r>
            <w:r w:rsidRPr="00B5552C">
              <w:rPr>
                <w:rFonts w:ascii="Arial" w:hAnsi="Arial" w:cs="Arial"/>
                <w:b/>
                <w:color w:val="F79646"/>
              </w:rPr>
              <w:tab/>
              <w:t>Outcomes</w:t>
            </w:r>
          </w:p>
        </w:tc>
      </w:tr>
      <w:tr w:rsidR="00304CBD" w:rsidRPr="00DF4267" w:rsidTr="00FF146C">
        <w:tc>
          <w:tcPr>
            <w:tcW w:w="8414" w:type="dxa"/>
            <w:shd w:val="clear" w:color="auto" w:fill="FFFFFF" w:themeFill="background1"/>
          </w:tcPr>
          <w:p w:rsidR="00304CBD" w:rsidRDefault="00304CBD" w:rsidP="00FF146C">
            <w:pPr>
              <w:spacing w:after="0" w:line="276" w:lineRule="auto"/>
              <w:rPr>
                <w:rFonts w:ascii="Arial" w:hAnsi="Arial" w:cs="Arial"/>
                <w:b/>
                <w:sz w:val="20"/>
              </w:rPr>
            </w:pPr>
          </w:p>
          <w:p w:rsidR="00304CBD" w:rsidRPr="00BE4DF3" w:rsidRDefault="00304CBD" w:rsidP="00FF146C">
            <w:pPr>
              <w:spacing w:after="0" w:line="276" w:lineRule="auto"/>
              <w:rPr>
                <w:rFonts w:ascii="Arial" w:hAnsi="Arial" w:cs="Arial"/>
                <w:b/>
                <w:color w:val="00B050"/>
                <w:sz w:val="20"/>
              </w:rPr>
            </w:pPr>
            <w:r w:rsidRPr="00BE4DF3">
              <w:rPr>
                <w:rFonts w:ascii="Arial" w:hAnsi="Arial" w:cs="Arial"/>
                <w:b/>
                <w:color w:val="00B050"/>
                <w:sz w:val="20"/>
              </w:rPr>
              <w:t>2.1</w:t>
            </w:r>
            <w:r w:rsidRPr="00BE4DF3">
              <w:rPr>
                <w:rFonts w:ascii="Arial" w:hAnsi="Arial" w:cs="Arial"/>
                <w:b/>
                <w:color w:val="00B050"/>
                <w:sz w:val="20"/>
              </w:rPr>
              <w:tab/>
            </w:r>
            <w:r w:rsidRPr="00BE4DF3">
              <w:rPr>
                <w:rFonts w:ascii="Arial" w:hAnsi="Arial" w:cs="Arial"/>
                <w:b/>
                <w:color w:val="00B050"/>
                <w:sz w:val="20"/>
                <w:u w:val="single"/>
              </w:rPr>
              <w:t>NHS Outcomes Framework Domains &amp; Indicators</w:t>
            </w:r>
          </w:p>
          <w:p w:rsidR="00304CBD" w:rsidRPr="00BE4DF3" w:rsidRDefault="00304CBD" w:rsidP="00FF146C">
            <w:pPr>
              <w:spacing w:after="0" w:line="276" w:lineRule="auto"/>
              <w:rPr>
                <w:rFonts w:ascii="Arial" w:hAnsi="Arial" w:cs="Arial"/>
                <w:b/>
                <w:color w:val="00B050"/>
                <w:sz w:val="20"/>
              </w:rPr>
            </w:pPr>
          </w:p>
          <w:tbl>
            <w:tblPr>
              <w:tblStyle w:val="TableGrid"/>
              <w:tblW w:w="0" w:type="auto"/>
              <w:tblInd w:w="738" w:type="dxa"/>
              <w:tblLook w:val="04A0" w:firstRow="1" w:lastRow="0" w:firstColumn="1" w:lastColumn="0" w:noHBand="0" w:noVBand="1"/>
            </w:tblPr>
            <w:tblGrid>
              <w:gridCol w:w="1276"/>
              <w:gridCol w:w="5528"/>
              <w:gridCol w:w="641"/>
            </w:tblGrid>
            <w:tr w:rsidR="00304CBD" w:rsidRPr="00BE4DF3" w:rsidTr="00FF146C">
              <w:tc>
                <w:tcPr>
                  <w:tcW w:w="1276"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t>Domain 1</w:t>
                  </w:r>
                </w:p>
              </w:tc>
              <w:tc>
                <w:tcPr>
                  <w:tcW w:w="5528"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t>Preventing people from dying prematurely</w:t>
                  </w:r>
                </w:p>
              </w:tc>
              <w:tc>
                <w:tcPr>
                  <w:tcW w:w="641" w:type="dxa"/>
                </w:tcPr>
                <w:p w:rsidR="00304CBD" w:rsidRPr="00712302" w:rsidRDefault="00712302" w:rsidP="00712302">
                  <w:pPr>
                    <w:spacing w:line="276" w:lineRule="auto"/>
                    <w:jc w:val="center"/>
                    <w:rPr>
                      <w:rFonts w:ascii="Arial" w:hAnsi="Arial" w:cs="Arial"/>
                      <w:b/>
                      <w:color w:val="000000" w:themeColor="text1"/>
                      <w:sz w:val="20"/>
                    </w:rPr>
                  </w:pPr>
                  <w:r w:rsidRPr="00712302">
                    <w:rPr>
                      <w:rFonts w:ascii="Arial" w:hAnsi="Arial" w:cs="Arial"/>
                      <w:b/>
                      <w:color w:val="000000" w:themeColor="text1"/>
                      <w:sz w:val="20"/>
                    </w:rPr>
                    <w:t>X</w:t>
                  </w:r>
                </w:p>
              </w:tc>
            </w:tr>
            <w:tr w:rsidR="00304CBD" w:rsidRPr="00BE4DF3" w:rsidTr="00FF146C">
              <w:tc>
                <w:tcPr>
                  <w:tcW w:w="1276"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t>Domain 2</w:t>
                  </w:r>
                </w:p>
              </w:tc>
              <w:tc>
                <w:tcPr>
                  <w:tcW w:w="5528"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t>Enhancing quality of life for people with long-term conditions</w:t>
                  </w:r>
                </w:p>
              </w:tc>
              <w:tc>
                <w:tcPr>
                  <w:tcW w:w="641" w:type="dxa"/>
                </w:tcPr>
                <w:p w:rsidR="00304CBD" w:rsidRPr="00712302" w:rsidRDefault="00712302" w:rsidP="00712302">
                  <w:pPr>
                    <w:spacing w:line="276" w:lineRule="auto"/>
                    <w:jc w:val="center"/>
                    <w:rPr>
                      <w:rFonts w:ascii="Arial" w:hAnsi="Arial" w:cs="Arial"/>
                      <w:b/>
                      <w:color w:val="000000" w:themeColor="text1"/>
                      <w:sz w:val="20"/>
                    </w:rPr>
                  </w:pPr>
                  <w:r w:rsidRPr="00712302">
                    <w:rPr>
                      <w:rFonts w:ascii="Arial" w:hAnsi="Arial" w:cs="Arial"/>
                      <w:b/>
                      <w:color w:val="000000" w:themeColor="text1"/>
                      <w:sz w:val="20"/>
                    </w:rPr>
                    <w:t>X</w:t>
                  </w:r>
                </w:p>
              </w:tc>
            </w:tr>
            <w:tr w:rsidR="00304CBD" w:rsidRPr="00BE4DF3" w:rsidTr="00FF146C">
              <w:tc>
                <w:tcPr>
                  <w:tcW w:w="1276"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lastRenderedPageBreak/>
                    <w:t>Domain 3</w:t>
                  </w:r>
                </w:p>
              </w:tc>
              <w:tc>
                <w:tcPr>
                  <w:tcW w:w="5528"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t>Helping people to recover from episodes of ill-health or following injury</w:t>
                  </w:r>
                </w:p>
              </w:tc>
              <w:tc>
                <w:tcPr>
                  <w:tcW w:w="641" w:type="dxa"/>
                </w:tcPr>
                <w:p w:rsidR="00304CBD" w:rsidRPr="00712302" w:rsidRDefault="00304CBD" w:rsidP="00712302">
                  <w:pPr>
                    <w:spacing w:line="276" w:lineRule="auto"/>
                    <w:jc w:val="center"/>
                    <w:rPr>
                      <w:rFonts w:ascii="Arial" w:hAnsi="Arial" w:cs="Arial"/>
                      <w:b/>
                      <w:color w:val="000000" w:themeColor="text1"/>
                      <w:sz w:val="20"/>
                    </w:rPr>
                  </w:pPr>
                </w:p>
              </w:tc>
            </w:tr>
            <w:tr w:rsidR="00304CBD" w:rsidRPr="00BE4DF3" w:rsidTr="00FF146C">
              <w:tc>
                <w:tcPr>
                  <w:tcW w:w="1276"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t>Domain 4</w:t>
                  </w:r>
                </w:p>
              </w:tc>
              <w:tc>
                <w:tcPr>
                  <w:tcW w:w="5528"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t>Ensuring people have a positive experience of care</w:t>
                  </w:r>
                </w:p>
              </w:tc>
              <w:tc>
                <w:tcPr>
                  <w:tcW w:w="641" w:type="dxa"/>
                </w:tcPr>
                <w:p w:rsidR="00304CBD" w:rsidRPr="00712302" w:rsidRDefault="00712302" w:rsidP="00712302">
                  <w:pPr>
                    <w:spacing w:line="276" w:lineRule="auto"/>
                    <w:jc w:val="center"/>
                    <w:rPr>
                      <w:rFonts w:ascii="Arial" w:hAnsi="Arial" w:cs="Arial"/>
                      <w:b/>
                      <w:color w:val="000000" w:themeColor="text1"/>
                      <w:sz w:val="20"/>
                    </w:rPr>
                  </w:pPr>
                  <w:r w:rsidRPr="00712302">
                    <w:rPr>
                      <w:rFonts w:ascii="Arial" w:hAnsi="Arial" w:cs="Arial"/>
                      <w:b/>
                      <w:color w:val="000000" w:themeColor="text1"/>
                      <w:sz w:val="20"/>
                    </w:rPr>
                    <w:t>X</w:t>
                  </w:r>
                </w:p>
              </w:tc>
            </w:tr>
            <w:tr w:rsidR="00304CBD" w:rsidRPr="00BE4DF3" w:rsidTr="00FF146C">
              <w:tc>
                <w:tcPr>
                  <w:tcW w:w="1276"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t>Domain 5</w:t>
                  </w:r>
                </w:p>
              </w:tc>
              <w:tc>
                <w:tcPr>
                  <w:tcW w:w="5528" w:type="dxa"/>
                </w:tcPr>
                <w:p w:rsidR="00304CBD" w:rsidRPr="00BE4DF3" w:rsidRDefault="00304CBD" w:rsidP="00FF146C">
                  <w:pPr>
                    <w:spacing w:line="276" w:lineRule="auto"/>
                    <w:rPr>
                      <w:rFonts w:ascii="Arial" w:hAnsi="Arial" w:cs="Arial"/>
                      <w:b/>
                      <w:color w:val="00B050"/>
                      <w:sz w:val="20"/>
                    </w:rPr>
                  </w:pPr>
                  <w:r w:rsidRPr="00BE4DF3">
                    <w:rPr>
                      <w:rFonts w:ascii="Arial" w:hAnsi="Arial" w:cs="Arial"/>
                      <w:b/>
                      <w:color w:val="00B050"/>
                      <w:sz w:val="20"/>
                    </w:rPr>
                    <w:t>Treating and caring for people in safe environment and protecting them from avoidable harm</w:t>
                  </w:r>
                </w:p>
              </w:tc>
              <w:tc>
                <w:tcPr>
                  <w:tcW w:w="641" w:type="dxa"/>
                </w:tcPr>
                <w:p w:rsidR="00304CBD" w:rsidRPr="00712302" w:rsidRDefault="00304CBD" w:rsidP="00712302">
                  <w:pPr>
                    <w:spacing w:line="276" w:lineRule="auto"/>
                    <w:jc w:val="center"/>
                    <w:rPr>
                      <w:rFonts w:ascii="Arial" w:hAnsi="Arial" w:cs="Arial"/>
                      <w:b/>
                      <w:color w:val="000000" w:themeColor="text1"/>
                      <w:sz w:val="20"/>
                    </w:rPr>
                  </w:pPr>
                </w:p>
              </w:tc>
            </w:tr>
          </w:tbl>
          <w:p w:rsidR="00304CBD" w:rsidRPr="00BE4DF3" w:rsidRDefault="00304CBD" w:rsidP="00FF146C">
            <w:pPr>
              <w:spacing w:after="0" w:line="276" w:lineRule="auto"/>
              <w:rPr>
                <w:rFonts w:ascii="Arial" w:hAnsi="Arial" w:cs="Arial"/>
                <w:b/>
                <w:color w:val="00B050"/>
                <w:sz w:val="20"/>
              </w:rPr>
            </w:pPr>
          </w:p>
          <w:p w:rsidR="00304CBD" w:rsidRPr="00BE4DF3" w:rsidRDefault="00304CBD" w:rsidP="00FF146C">
            <w:pPr>
              <w:spacing w:after="0" w:line="276" w:lineRule="auto"/>
              <w:rPr>
                <w:rFonts w:ascii="Arial" w:hAnsi="Arial" w:cs="Arial"/>
                <w:b/>
                <w:color w:val="00B050"/>
                <w:sz w:val="20"/>
              </w:rPr>
            </w:pPr>
            <w:r w:rsidRPr="00BE4DF3">
              <w:rPr>
                <w:rFonts w:ascii="Arial" w:hAnsi="Arial" w:cs="Arial"/>
                <w:b/>
                <w:color w:val="00B050"/>
                <w:sz w:val="20"/>
              </w:rPr>
              <w:t>2.2</w:t>
            </w:r>
            <w:r w:rsidRPr="00BE4DF3">
              <w:rPr>
                <w:rFonts w:ascii="Arial" w:hAnsi="Arial" w:cs="Arial"/>
                <w:b/>
                <w:color w:val="00B050"/>
                <w:sz w:val="20"/>
              </w:rPr>
              <w:tab/>
              <w:t>Local defined outcomes</w:t>
            </w:r>
          </w:p>
          <w:p w:rsidR="00712302" w:rsidRPr="00B47D6A" w:rsidRDefault="00712302" w:rsidP="00712302">
            <w:pPr>
              <w:ind w:left="1418" w:hanging="709"/>
              <w:rPr>
                <w:rFonts w:ascii="Calibri" w:hAnsi="Calibri" w:cs="Calibri"/>
                <w:szCs w:val="22"/>
              </w:rPr>
            </w:pPr>
            <w:r w:rsidRPr="00B47D6A">
              <w:rPr>
                <w:rFonts w:ascii="Calibri" w:hAnsi="Calibri" w:cs="Calibri"/>
                <w:sz w:val="22"/>
                <w:szCs w:val="22"/>
              </w:rPr>
              <w:t>The expected outcomes of the service will be:</w:t>
            </w:r>
          </w:p>
          <w:p w:rsidR="00712302" w:rsidRPr="00B47D6A" w:rsidRDefault="00712302" w:rsidP="00712302">
            <w:pPr>
              <w:numPr>
                <w:ilvl w:val="2"/>
                <w:numId w:val="6"/>
              </w:numPr>
              <w:spacing w:after="0"/>
              <w:ind w:left="1134" w:hanging="425"/>
              <w:rPr>
                <w:rFonts w:ascii="Calibri" w:hAnsi="Calibri" w:cs="Calibri"/>
                <w:szCs w:val="22"/>
              </w:rPr>
            </w:pPr>
            <w:r w:rsidRPr="00B47D6A">
              <w:rPr>
                <w:rFonts w:ascii="Calibri" w:hAnsi="Calibri" w:cs="Calibri"/>
                <w:sz w:val="22"/>
                <w:szCs w:val="22"/>
              </w:rPr>
              <w:t>Reduction in number of secondary care review appointments by means of earlier discharge of suitable patients from hospital.</w:t>
            </w:r>
          </w:p>
          <w:p w:rsidR="00712302" w:rsidRPr="00B47D6A" w:rsidRDefault="00712302" w:rsidP="00712302">
            <w:pPr>
              <w:numPr>
                <w:ilvl w:val="2"/>
                <w:numId w:val="6"/>
              </w:numPr>
              <w:spacing w:after="0"/>
              <w:ind w:left="1134" w:hanging="425"/>
              <w:rPr>
                <w:rFonts w:ascii="Calibri" w:hAnsi="Calibri" w:cs="Calibri"/>
                <w:szCs w:val="22"/>
              </w:rPr>
            </w:pPr>
            <w:r w:rsidRPr="00B47D6A">
              <w:rPr>
                <w:rFonts w:ascii="Calibri" w:hAnsi="Calibri" w:cs="Calibri"/>
                <w:sz w:val="22"/>
                <w:szCs w:val="22"/>
              </w:rPr>
              <w:t>Improved patient experience, access to services closer to home and patient choice.</w:t>
            </w:r>
          </w:p>
          <w:p w:rsidR="00712302" w:rsidRPr="00B47D6A" w:rsidRDefault="00712302" w:rsidP="00712302">
            <w:pPr>
              <w:numPr>
                <w:ilvl w:val="2"/>
                <w:numId w:val="6"/>
              </w:numPr>
              <w:spacing w:after="0"/>
              <w:ind w:left="1134" w:hanging="425"/>
              <w:rPr>
                <w:rFonts w:ascii="Calibri" w:hAnsi="Calibri" w:cs="Calibri"/>
                <w:szCs w:val="22"/>
              </w:rPr>
            </w:pPr>
            <w:r w:rsidRPr="00B47D6A">
              <w:rPr>
                <w:rFonts w:ascii="Calibri" w:hAnsi="Calibri" w:cs="Calibri"/>
                <w:sz w:val="22"/>
                <w:szCs w:val="22"/>
              </w:rPr>
              <w:t xml:space="preserve">Increased knowledge and expertise in </w:t>
            </w:r>
            <w:r>
              <w:rPr>
                <w:rFonts w:ascii="Calibri" w:hAnsi="Calibri" w:cs="Calibri"/>
                <w:sz w:val="22"/>
                <w:szCs w:val="22"/>
              </w:rPr>
              <w:t>P</w:t>
            </w:r>
            <w:r w:rsidRPr="00B47D6A">
              <w:rPr>
                <w:rFonts w:ascii="Calibri" w:hAnsi="Calibri" w:cs="Calibri"/>
                <w:sz w:val="22"/>
                <w:szCs w:val="22"/>
              </w:rPr>
              <w:t xml:space="preserve">rimary </w:t>
            </w:r>
            <w:r>
              <w:rPr>
                <w:rFonts w:ascii="Calibri" w:hAnsi="Calibri" w:cs="Calibri"/>
                <w:sz w:val="22"/>
                <w:szCs w:val="22"/>
              </w:rPr>
              <w:t>C</w:t>
            </w:r>
            <w:r w:rsidRPr="00B47D6A">
              <w:rPr>
                <w:rFonts w:ascii="Calibri" w:hAnsi="Calibri" w:cs="Calibri"/>
                <w:sz w:val="22"/>
                <w:szCs w:val="22"/>
              </w:rPr>
              <w:t>are</w:t>
            </w:r>
          </w:p>
          <w:p w:rsidR="00304CBD" w:rsidRDefault="00304CBD" w:rsidP="00FF146C">
            <w:pPr>
              <w:spacing w:after="0" w:line="276" w:lineRule="auto"/>
              <w:rPr>
                <w:rFonts w:ascii="Arial" w:hAnsi="Arial" w:cs="Arial"/>
                <w:b/>
                <w:color w:val="F79646"/>
                <w:sz w:val="20"/>
              </w:rPr>
            </w:pPr>
          </w:p>
          <w:p w:rsidR="00304CBD" w:rsidRPr="00DF4267" w:rsidRDefault="00304CBD" w:rsidP="00FF146C">
            <w:pPr>
              <w:spacing w:after="0" w:line="276" w:lineRule="auto"/>
              <w:rPr>
                <w:rFonts w:ascii="Arial" w:hAnsi="Arial" w:cs="Arial"/>
                <w:b/>
                <w:color w:val="F79646"/>
                <w:sz w:val="20"/>
              </w:rPr>
            </w:pPr>
          </w:p>
        </w:tc>
      </w:tr>
      <w:tr w:rsidR="00304CBD" w:rsidRPr="00B5552C" w:rsidTr="00FF146C">
        <w:tc>
          <w:tcPr>
            <w:tcW w:w="8414" w:type="dxa"/>
            <w:shd w:val="clear" w:color="auto" w:fill="595959"/>
          </w:tcPr>
          <w:p w:rsidR="00304CBD" w:rsidRPr="00B5552C" w:rsidRDefault="00304CBD" w:rsidP="00FF146C">
            <w:pPr>
              <w:spacing w:after="0" w:line="276" w:lineRule="auto"/>
              <w:rPr>
                <w:rFonts w:ascii="Arial" w:hAnsi="Arial" w:cs="Arial"/>
                <w:b/>
                <w:color w:val="F79646"/>
              </w:rPr>
            </w:pPr>
            <w:r w:rsidRPr="00B5552C">
              <w:rPr>
                <w:rFonts w:ascii="Arial" w:hAnsi="Arial" w:cs="Arial"/>
                <w:b/>
                <w:color w:val="F79646"/>
              </w:rPr>
              <w:lastRenderedPageBreak/>
              <w:t>3.</w:t>
            </w:r>
            <w:r w:rsidRPr="00B5552C">
              <w:rPr>
                <w:rFonts w:ascii="Arial" w:hAnsi="Arial" w:cs="Arial"/>
                <w:b/>
                <w:color w:val="F79646"/>
              </w:rPr>
              <w:tab/>
              <w:t>Scope</w:t>
            </w:r>
          </w:p>
        </w:tc>
      </w:tr>
      <w:tr w:rsidR="00304CBD" w:rsidRPr="00512021" w:rsidTr="00FF146C">
        <w:tc>
          <w:tcPr>
            <w:tcW w:w="8414" w:type="dxa"/>
            <w:shd w:val="clear" w:color="auto" w:fill="auto"/>
          </w:tcPr>
          <w:p w:rsidR="00304CBD" w:rsidRPr="00512021" w:rsidRDefault="00304CBD" w:rsidP="00FF146C">
            <w:pPr>
              <w:spacing w:after="0"/>
              <w:rPr>
                <w:rFonts w:ascii="Arial" w:hAnsi="Arial" w:cs="Arial"/>
                <w:sz w:val="20"/>
              </w:rPr>
            </w:pPr>
          </w:p>
          <w:p w:rsidR="00304CBD" w:rsidRPr="00F47C01" w:rsidRDefault="00304CBD" w:rsidP="00FF146C">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.1</w:t>
            </w:r>
            <w:r w:rsidRPr="00F47C01">
              <w:rPr>
                <w:rFonts w:ascii="Arial" w:hAnsi="Arial" w:cs="Arial"/>
                <w:b/>
                <w:color w:val="009966"/>
                <w:sz w:val="20"/>
              </w:rPr>
              <w:tab/>
              <w:t>Aims and objectives of service</w:t>
            </w:r>
          </w:p>
          <w:p w:rsidR="00304CBD" w:rsidRDefault="00304CBD" w:rsidP="00FF146C">
            <w:pPr>
              <w:spacing w:after="0"/>
              <w:rPr>
                <w:rFonts w:ascii="Arial" w:hAnsi="Arial" w:cs="Arial"/>
                <w:color w:val="009966"/>
                <w:sz w:val="20"/>
              </w:rPr>
            </w:pPr>
          </w:p>
          <w:p w:rsidR="00712302" w:rsidRPr="006E18FD" w:rsidRDefault="00712302" w:rsidP="00712302">
            <w:pPr>
              <w:ind w:left="709"/>
              <w:rPr>
                <w:rFonts w:ascii="Calibri" w:hAnsi="Calibri" w:cs="Calibri"/>
                <w:szCs w:val="22"/>
              </w:rPr>
            </w:pPr>
            <w:r w:rsidRPr="006E18FD">
              <w:rPr>
                <w:rFonts w:ascii="Calibri" w:hAnsi="Calibri" w:cs="Calibri"/>
                <w:sz w:val="22"/>
                <w:szCs w:val="22"/>
              </w:rPr>
              <w:t>The ongoing management and follow up of the identified group of patients is in accordance with:</w:t>
            </w:r>
          </w:p>
          <w:p w:rsidR="00712302" w:rsidRPr="006E18FD" w:rsidRDefault="00712302" w:rsidP="00712302">
            <w:pPr>
              <w:pStyle w:val="Header"/>
              <w:numPr>
                <w:ilvl w:val="0"/>
                <w:numId w:val="8"/>
              </w:numPr>
              <w:tabs>
                <w:tab w:val="clear" w:pos="4153"/>
                <w:tab w:val="clear" w:pos="8306"/>
              </w:tabs>
              <w:ind w:left="1134" w:hanging="425"/>
              <w:rPr>
                <w:rFonts w:ascii="Calibri" w:hAnsi="Calibri" w:cs="Calibri"/>
                <w:b/>
                <w:szCs w:val="22"/>
              </w:rPr>
            </w:pPr>
            <w:r w:rsidRPr="006E18FD">
              <w:rPr>
                <w:rFonts w:ascii="Calibri" w:hAnsi="Calibri" w:cs="Calibri"/>
                <w:sz w:val="22"/>
                <w:szCs w:val="22"/>
              </w:rPr>
              <w:t xml:space="preserve">Clinical guidelines to support the management of these patients in Primary Care and referral pathways back into Secondary Care </w:t>
            </w:r>
            <w:r w:rsidRPr="006E18FD">
              <w:rPr>
                <w:rFonts w:ascii="Calibri" w:hAnsi="Calibri" w:cs="Calibri"/>
                <w:b/>
                <w:sz w:val="22"/>
                <w:szCs w:val="22"/>
              </w:rPr>
              <w:t>(</w:t>
            </w:r>
            <w:r w:rsidRPr="006E18FD">
              <w:rPr>
                <w:rFonts w:ascii="Calibri" w:hAnsi="Calibri" w:cs="Calibri"/>
                <w:b/>
                <w:i/>
                <w:sz w:val="22"/>
                <w:szCs w:val="22"/>
              </w:rPr>
              <w:t>Appendix 1</w:t>
            </w:r>
            <w:r w:rsidRPr="006E18FD">
              <w:rPr>
                <w:rFonts w:ascii="Calibri" w:hAnsi="Calibri" w:cs="Calibri"/>
                <w:b/>
                <w:sz w:val="22"/>
                <w:szCs w:val="22"/>
              </w:rPr>
              <w:t>)</w:t>
            </w:r>
          </w:p>
          <w:p w:rsidR="00712302" w:rsidRPr="006E18FD" w:rsidRDefault="00712302" w:rsidP="00712302">
            <w:pPr>
              <w:pStyle w:val="Header"/>
              <w:tabs>
                <w:tab w:val="clear" w:pos="4153"/>
                <w:tab w:val="clear" w:pos="8306"/>
              </w:tabs>
              <w:ind w:left="1134"/>
              <w:rPr>
                <w:rFonts w:ascii="Calibri" w:hAnsi="Calibri" w:cs="Calibri"/>
                <w:b/>
                <w:szCs w:val="22"/>
              </w:rPr>
            </w:pPr>
          </w:p>
          <w:p w:rsidR="00712302" w:rsidRPr="006E18FD" w:rsidRDefault="00712302" w:rsidP="00712302">
            <w:pPr>
              <w:pStyle w:val="Header"/>
              <w:numPr>
                <w:ilvl w:val="0"/>
                <w:numId w:val="7"/>
              </w:numPr>
              <w:tabs>
                <w:tab w:val="clear" w:pos="780"/>
                <w:tab w:val="clear" w:pos="4153"/>
                <w:tab w:val="clear" w:pos="8306"/>
              </w:tabs>
              <w:ind w:left="1134" w:hanging="425"/>
              <w:rPr>
                <w:rFonts w:ascii="Calibri" w:hAnsi="Calibri" w:cs="Calibri"/>
                <w:szCs w:val="22"/>
              </w:rPr>
            </w:pPr>
            <w:r w:rsidRPr="006E18FD">
              <w:rPr>
                <w:rFonts w:ascii="Calibri" w:hAnsi="Calibri" w:cs="Calibri"/>
                <w:sz w:val="22"/>
                <w:szCs w:val="22"/>
              </w:rPr>
              <w:t>Agreed discharge criteria for transfer of care endorsed by Secondary Care</w:t>
            </w:r>
          </w:p>
          <w:p w:rsidR="00712302" w:rsidRPr="006E18FD" w:rsidRDefault="00712302" w:rsidP="00712302">
            <w:pPr>
              <w:pStyle w:val="Header"/>
              <w:tabs>
                <w:tab w:val="clear" w:pos="4153"/>
                <w:tab w:val="clear" w:pos="8306"/>
              </w:tabs>
              <w:ind w:left="1134"/>
              <w:rPr>
                <w:rFonts w:ascii="Calibri" w:hAnsi="Calibri" w:cs="Calibri"/>
                <w:szCs w:val="22"/>
              </w:rPr>
            </w:pPr>
            <w:r w:rsidRPr="006E18FD">
              <w:rPr>
                <w:rFonts w:ascii="Calibri" w:hAnsi="Calibri" w:cs="Calibri"/>
                <w:b/>
                <w:sz w:val="22"/>
                <w:szCs w:val="22"/>
              </w:rPr>
              <w:t>(</w:t>
            </w:r>
            <w:r w:rsidRPr="006E18FD">
              <w:rPr>
                <w:rFonts w:ascii="Calibri" w:hAnsi="Calibri" w:cs="Calibri"/>
                <w:b/>
                <w:i/>
                <w:sz w:val="22"/>
                <w:szCs w:val="22"/>
              </w:rPr>
              <w:t>Appendix 2</w:t>
            </w:r>
            <w:r w:rsidRPr="006E18FD">
              <w:rPr>
                <w:rFonts w:ascii="Calibri" w:hAnsi="Calibri" w:cs="Calibri"/>
                <w:b/>
                <w:sz w:val="22"/>
                <w:szCs w:val="22"/>
              </w:rPr>
              <w:t>)</w:t>
            </w:r>
          </w:p>
          <w:p w:rsidR="00712302" w:rsidRPr="006E18FD" w:rsidRDefault="00712302" w:rsidP="00712302">
            <w:pPr>
              <w:pStyle w:val="Header"/>
              <w:tabs>
                <w:tab w:val="clear" w:pos="4153"/>
                <w:tab w:val="clear" w:pos="8306"/>
              </w:tabs>
              <w:ind w:left="1134"/>
              <w:rPr>
                <w:rFonts w:ascii="Calibri" w:hAnsi="Calibri" w:cs="Calibri"/>
                <w:szCs w:val="22"/>
              </w:rPr>
            </w:pPr>
          </w:p>
          <w:p w:rsidR="009D5773" w:rsidRPr="006E18FD" w:rsidRDefault="009D5773" w:rsidP="009D5773">
            <w:pPr>
              <w:pStyle w:val="ListParagraph"/>
              <w:numPr>
                <w:ilvl w:val="0"/>
                <w:numId w:val="26"/>
              </w:numPr>
              <w:autoSpaceDE w:val="0"/>
              <w:autoSpaceDN w:val="0"/>
              <w:adjustRightInd w:val="0"/>
              <w:spacing w:after="34"/>
              <w:rPr>
                <w:rFonts w:ascii="Calibri" w:hAnsi="Calibri" w:cs="Calibri"/>
                <w:color w:val="000000"/>
                <w:szCs w:val="22"/>
              </w:rPr>
            </w:pPr>
            <w:r w:rsidRPr="006E18FD">
              <w:rPr>
                <w:rFonts w:ascii="Calibri" w:hAnsi="Calibri" w:cs="Calibri"/>
                <w:color w:val="000000"/>
                <w:sz w:val="22"/>
                <w:szCs w:val="22"/>
              </w:rPr>
              <w:t>During consultation with the patient in secondary care, the patient will be advised of their future follow up care by their local GP and consent obtained for discharge.  A Transfer of Care form and Individual Management Plan – (Appendix 2a] will be prepared prior to discharge.  The patient and GP will be informed.  The GP will assume responsibility for the patient at the point of receipt of the Transfer of Care form.  If the GP is not happy to manage the patient, Consultant and patient to be informed with reasons for not taking over care within 28 days.</w:t>
            </w:r>
          </w:p>
          <w:p w:rsidR="009D5773" w:rsidRPr="006E18FD" w:rsidRDefault="009D5773" w:rsidP="009D5773">
            <w:pPr>
              <w:pStyle w:val="ListParagraph"/>
              <w:autoSpaceDE w:val="0"/>
              <w:autoSpaceDN w:val="0"/>
              <w:adjustRightInd w:val="0"/>
              <w:spacing w:after="34"/>
              <w:ind w:left="1080"/>
              <w:rPr>
                <w:rFonts w:ascii="Calibri" w:hAnsi="Calibri" w:cs="Calibri"/>
                <w:color w:val="000000"/>
                <w:szCs w:val="22"/>
              </w:rPr>
            </w:pPr>
          </w:p>
          <w:p w:rsidR="00712302" w:rsidRPr="00987EF2" w:rsidRDefault="009D5773" w:rsidP="009D5773">
            <w:pPr>
              <w:pStyle w:val="Header"/>
              <w:numPr>
                <w:ilvl w:val="0"/>
                <w:numId w:val="26"/>
              </w:numPr>
              <w:tabs>
                <w:tab w:val="clear" w:pos="4153"/>
                <w:tab w:val="clear" w:pos="8306"/>
              </w:tabs>
              <w:rPr>
                <w:rFonts w:asciiTheme="minorHAnsi" w:hAnsiTheme="minorHAnsi" w:cstheme="minorHAnsi"/>
                <w:b/>
                <w:szCs w:val="22"/>
              </w:rPr>
            </w:pPr>
            <w:r w:rsidRPr="00987EF2">
              <w:rPr>
                <w:rFonts w:asciiTheme="minorHAnsi" w:hAnsiTheme="minorHAnsi" w:cstheme="minorHAnsi"/>
                <w:sz w:val="22"/>
                <w:szCs w:val="22"/>
              </w:rPr>
              <w:t xml:space="preserve">The Patient will be provided with a copy of their Transfer of Care Form and Individual Management Plan which </w:t>
            </w:r>
            <w:r w:rsidRPr="00987EF2">
              <w:rPr>
                <w:rFonts w:asciiTheme="minorHAnsi" w:hAnsiTheme="minorHAnsi" w:cstheme="minorHAnsi"/>
                <w:b/>
                <w:sz w:val="22"/>
                <w:szCs w:val="22"/>
              </w:rPr>
              <w:t xml:space="preserve">must </w:t>
            </w:r>
            <w:r w:rsidRPr="00987EF2">
              <w:rPr>
                <w:rFonts w:asciiTheme="minorHAnsi" w:hAnsiTheme="minorHAnsi" w:cstheme="minorHAnsi"/>
                <w:sz w:val="22"/>
                <w:szCs w:val="22"/>
              </w:rPr>
              <w:t xml:space="preserve">be put within the PCUK booklet </w:t>
            </w:r>
            <w:r w:rsidR="00987EF2" w:rsidRPr="00987EF2">
              <w:rPr>
                <w:rFonts w:asciiTheme="minorHAnsi" w:hAnsiTheme="minorHAnsi" w:cstheme="minorHAnsi"/>
                <w:sz w:val="22"/>
                <w:szCs w:val="22"/>
              </w:rPr>
              <w:t xml:space="preserve">entitled “Follow up after Prostate Cancer Treatment – What Happens Next?” </w:t>
            </w:r>
            <w:r w:rsidRPr="00987EF2">
              <w:rPr>
                <w:rFonts w:asciiTheme="minorHAnsi" w:hAnsiTheme="minorHAnsi" w:cstheme="minorHAnsi"/>
                <w:sz w:val="22"/>
                <w:szCs w:val="22"/>
              </w:rPr>
              <w:t xml:space="preserve">  </w:t>
            </w:r>
          </w:p>
          <w:p w:rsidR="009D5773" w:rsidRPr="006E18FD" w:rsidRDefault="009D5773" w:rsidP="009D5773">
            <w:pPr>
              <w:pStyle w:val="ListParagraph"/>
              <w:rPr>
                <w:rFonts w:ascii="Calibri" w:hAnsi="Calibri" w:cs="Calibri"/>
                <w:b/>
                <w:szCs w:val="22"/>
              </w:rPr>
            </w:pPr>
          </w:p>
          <w:p w:rsidR="00712302" w:rsidRPr="006E18FD" w:rsidRDefault="00712302" w:rsidP="00712302">
            <w:pPr>
              <w:pStyle w:val="Header"/>
              <w:numPr>
                <w:ilvl w:val="0"/>
                <w:numId w:val="8"/>
              </w:numPr>
              <w:tabs>
                <w:tab w:val="clear" w:pos="4153"/>
                <w:tab w:val="clear" w:pos="8306"/>
              </w:tabs>
              <w:ind w:left="1134" w:hanging="425"/>
              <w:rPr>
                <w:rFonts w:ascii="Calibri" w:hAnsi="Calibri" w:cs="Calibri"/>
                <w:szCs w:val="22"/>
              </w:rPr>
            </w:pPr>
            <w:r w:rsidRPr="006E18FD">
              <w:rPr>
                <w:rFonts w:ascii="Calibri" w:hAnsi="Calibri" w:cs="Calibri"/>
                <w:sz w:val="22"/>
                <w:szCs w:val="22"/>
              </w:rPr>
              <w:t xml:space="preserve">Referral back to Secondary Care will be via a letter to the consultant </w:t>
            </w:r>
            <w:r w:rsidR="009D5773" w:rsidRPr="006E18FD">
              <w:rPr>
                <w:rFonts w:ascii="Calibri" w:hAnsi="Calibri" w:cs="Calibri"/>
                <w:sz w:val="22"/>
                <w:szCs w:val="22"/>
              </w:rPr>
              <w:t xml:space="preserve">and include a copy of the Transfer of Care Form where available. The consultant </w:t>
            </w:r>
            <w:r w:rsidRPr="006E18FD">
              <w:rPr>
                <w:rFonts w:ascii="Calibri" w:hAnsi="Calibri" w:cs="Calibri"/>
                <w:sz w:val="22"/>
                <w:szCs w:val="22"/>
              </w:rPr>
              <w:t>will triage the patient to the appropriate clinic and needs to be via the existing 2 week wait system to ensure no delay in the hospital follow-up.</w:t>
            </w:r>
          </w:p>
          <w:p w:rsidR="00712302" w:rsidRPr="006E18FD" w:rsidRDefault="00712302" w:rsidP="00712302">
            <w:pPr>
              <w:pStyle w:val="Header"/>
              <w:tabs>
                <w:tab w:val="clear" w:pos="4153"/>
                <w:tab w:val="clear" w:pos="8306"/>
              </w:tabs>
              <w:ind w:left="1134"/>
              <w:rPr>
                <w:rFonts w:ascii="Calibri" w:hAnsi="Calibri" w:cs="Calibri"/>
                <w:szCs w:val="22"/>
              </w:rPr>
            </w:pPr>
          </w:p>
          <w:p w:rsidR="00712302" w:rsidRPr="006E18FD" w:rsidRDefault="00712302" w:rsidP="00712302">
            <w:pPr>
              <w:pStyle w:val="Header"/>
              <w:numPr>
                <w:ilvl w:val="0"/>
                <w:numId w:val="8"/>
              </w:numPr>
              <w:tabs>
                <w:tab w:val="clear" w:pos="4153"/>
                <w:tab w:val="clear" w:pos="8306"/>
              </w:tabs>
              <w:ind w:left="1134" w:hanging="425"/>
              <w:rPr>
                <w:rFonts w:ascii="Calibri" w:hAnsi="Calibri" w:cs="Calibri"/>
                <w:szCs w:val="22"/>
              </w:rPr>
            </w:pPr>
            <w:r w:rsidRPr="006E18FD">
              <w:rPr>
                <w:rFonts w:ascii="Calibri" w:hAnsi="Calibri" w:cs="Calibri"/>
                <w:sz w:val="22"/>
                <w:szCs w:val="22"/>
              </w:rPr>
              <w:t xml:space="preserve">GPs will have access to a Consultant Urologist via Advice and Guidance using Choose and Book; an on-call Registrar or the Urology specialist nurse via telephone. Full contact details are provided in </w:t>
            </w:r>
            <w:r w:rsidRPr="006E18FD">
              <w:rPr>
                <w:rFonts w:ascii="Calibri" w:hAnsi="Calibri" w:cs="Calibri"/>
                <w:b/>
                <w:i/>
                <w:sz w:val="22"/>
                <w:szCs w:val="22"/>
              </w:rPr>
              <w:t xml:space="preserve">Appendix </w:t>
            </w:r>
            <w:r w:rsidR="00414586" w:rsidRPr="006E18FD">
              <w:rPr>
                <w:rFonts w:ascii="Calibri" w:hAnsi="Calibri" w:cs="Calibri"/>
                <w:b/>
                <w:i/>
                <w:sz w:val="22"/>
                <w:szCs w:val="22"/>
                <w:lang w:val="en-GB"/>
              </w:rPr>
              <w:t>3</w:t>
            </w:r>
            <w:r w:rsidRPr="006E18FD">
              <w:rPr>
                <w:rFonts w:ascii="Calibri" w:hAnsi="Calibri" w:cs="Calibri"/>
                <w:sz w:val="22"/>
                <w:szCs w:val="22"/>
                <w:lang w:val="en-GB"/>
              </w:rPr>
              <w:t>.</w:t>
            </w:r>
          </w:p>
          <w:p w:rsidR="00304CBD" w:rsidRDefault="00304CBD" w:rsidP="00FF146C">
            <w:pPr>
              <w:spacing w:after="0"/>
              <w:rPr>
                <w:rFonts w:ascii="Arial" w:hAnsi="Arial" w:cs="Arial"/>
                <w:color w:val="009966"/>
                <w:sz w:val="20"/>
              </w:rPr>
            </w:pPr>
          </w:p>
          <w:p w:rsidR="009D5773" w:rsidRPr="00390A2D" w:rsidRDefault="009D5773" w:rsidP="00FF146C">
            <w:pPr>
              <w:spacing w:after="0"/>
              <w:rPr>
                <w:rFonts w:ascii="Arial" w:hAnsi="Arial" w:cs="Arial"/>
                <w:color w:val="009966"/>
                <w:sz w:val="20"/>
              </w:rPr>
            </w:pPr>
          </w:p>
          <w:p w:rsidR="00304CBD" w:rsidRPr="00F47C01" w:rsidRDefault="00304CBD" w:rsidP="00FF146C">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.2</w:t>
            </w:r>
            <w:r w:rsidRPr="00F47C01">
              <w:rPr>
                <w:rFonts w:ascii="Arial" w:hAnsi="Arial" w:cs="Arial"/>
                <w:b/>
                <w:color w:val="009966"/>
                <w:sz w:val="20"/>
              </w:rPr>
              <w:tab/>
              <w:t>Service description/care pathway</w:t>
            </w:r>
          </w:p>
          <w:p w:rsidR="00304CBD" w:rsidRDefault="00304CBD" w:rsidP="00FF146C">
            <w:pPr>
              <w:spacing w:after="0"/>
              <w:rPr>
                <w:rFonts w:ascii="Arial" w:hAnsi="Arial" w:cs="Arial"/>
                <w:color w:val="009966"/>
                <w:sz w:val="20"/>
              </w:rPr>
            </w:pPr>
          </w:p>
          <w:p w:rsidR="000833EE" w:rsidRPr="00816F26" w:rsidRDefault="000833EE" w:rsidP="000833EE">
            <w:pPr>
              <w:ind w:left="709"/>
              <w:rPr>
                <w:rFonts w:ascii="Calibri" w:hAnsi="Calibri" w:cs="Calibri"/>
                <w:b/>
                <w:szCs w:val="22"/>
              </w:rPr>
            </w:pPr>
            <w:r w:rsidRPr="00816F26">
              <w:rPr>
                <w:rFonts w:ascii="Calibri" w:hAnsi="Calibri" w:cs="Calibri"/>
                <w:b/>
                <w:i/>
                <w:sz w:val="22"/>
                <w:szCs w:val="22"/>
              </w:rPr>
              <w:t>Appendix 1</w:t>
            </w:r>
            <w:r w:rsidRPr="00816F26">
              <w:rPr>
                <w:rFonts w:ascii="Calibri" w:hAnsi="Calibri" w:cs="Calibri"/>
                <w:b/>
                <w:sz w:val="22"/>
                <w:szCs w:val="22"/>
              </w:rPr>
              <w:t xml:space="preserve"> details the Stable Prostate Cancer Secondary</w:t>
            </w:r>
            <w:r>
              <w:rPr>
                <w:rFonts w:ascii="Calibri" w:hAnsi="Calibri" w:cs="Calibri"/>
                <w:b/>
                <w:sz w:val="22"/>
                <w:szCs w:val="22"/>
              </w:rPr>
              <w:t xml:space="preserve"> </w:t>
            </w:r>
            <w:r w:rsidRPr="00816F26">
              <w:rPr>
                <w:rFonts w:ascii="Calibri" w:hAnsi="Calibri" w:cs="Calibri"/>
                <w:b/>
                <w:sz w:val="22"/>
                <w:szCs w:val="22"/>
              </w:rPr>
              <w:t>/</w:t>
            </w:r>
            <w:r>
              <w:rPr>
                <w:rFonts w:ascii="Calibri" w:hAnsi="Calibri" w:cs="Calibri"/>
                <w:b/>
                <w:sz w:val="22"/>
                <w:szCs w:val="22"/>
              </w:rPr>
              <w:t xml:space="preserve"> </w:t>
            </w:r>
            <w:r w:rsidRPr="00816F26">
              <w:rPr>
                <w:rFonts w:ascii="Calibri" w:hAnsi="Calibri" w:cs="Calibri"/>
                <w:b/>
                <w:sz w:val="22"/>
                <w:szCs w:val="22"/>
              </w:rPr>
              <w:t>Primary Care Pathway</w:t>
            </w:r>
            <w:r>
              <w:rPr>
                <w:rFonts w:ascii="Calibri" w:hAnsi="Calibri" w:cs="Calibri"/>
                <w:b/>
                <w:sz w:val="22"/>
                <w:szCs w:val="22"/>
              </w:rPr>
              <w:t>.</w:t>
            </w:r>
          </w:p>
          <w:p w:rsidR="000833EE" w:rsidRPr="00B47D6A" w:rsidRDefault="000833EE" w:rsidP="000833EE">
            <w:pPr>
              <w:ind w:left="709"/>
              <w:outlineLvl w:val="1"/>
              <w:rPr>
                <w:rFonts w:ascii="Calibri" w:hAnsi="Calibri" w:cs="Calibri"/>
                <w:b/>
                <w:szCs w:val="22"/>
              </w:rPr>
            </w:pPr>
            <w:r w:rsidRPr="00B47D6A">
              <w:rPr>
                <w:rFonts w:ascii="Calibri" w:hAnsi="Calibri" w:cs="Calibri"/>
                <w:b/>
                <w:sz w:val="22"/>
                <w:szCs w:val="22"/>
              </w:rPr>
              <w:t>Management in Primary Care</w:t>
            </w:r>
          </w:p>
          <w:p w:rsidR="000833EE" w:rsidRPr="00B47D6A" w:rsidRDefault="000833EE" w:rsidP="000833EE">
            <w:pPr>
              <w:ind w:left="709"/>
              <w:outlineLvl w:val="1"/>
              <w:rPr>
                <w:rFonts w:ascii="Calibri" w:hAnsi="Calibri" w:cs="Calibri"/>
                <w:szCs w:val="22"/>
              </w:rPr>
            </w:pPr>
            <w:r w:rsidRPr="00B47D6A">
              <w:rPr>
                <w:rFonts w:ascii="Calibri" w:hAnsi="Calibri" w:cs="Calibri"/>
                <w:sz w:val="22"/>
                <w:szCs w:val="22"/>
              </w:rPr>
              <w:t>The management and follow up in Primary Care of men with prostate cancer who have stable disease following diagnosis, assessment with or without treatment by a consultant urologist in line with Prostate Cancer Primary Care Management Guidelines for patients will meet the following criteria:</w:t>
            </w:r>
          </w:p>
          <w:p w:rsidR="000833EE" w:rsidRPr="00816F26" w:rsidRDefault="000833EE" w:rsidP="000833EE">
            <w:pPr>
              <w:pStyle w:val="Header"/>
              <w:numPr>
                <w:ilvl w:val="0"/>
                <w:numId w:val="8"/>
              </w:numPr>
              <w:tabs>
                <w:tab w:val="clear" w:pos="4153"/>
                <w:tab w:val="clear" w:pos="8306"/>
              </w:tabs>
              <w:ind w:left="1134" w:hanging="425"/>
              <w:rPr>
                <w:rFonts w:ascii="Calibri" w:hAnsi="Calibri" w:cs="Calibri"/>
                <w:szCs w:val="22"/>
              </w:rPr>
            </w:pPr>
            <w:r w:rsidRPr="00816F26">
              <w:rPr>
                <w:rFonts w:ascii="Calibri" w:hAnsi="Calibri" w:cs="Calibri"/>
                <w:sz w:val="22"/>
                <w:szCs w:val="22"/>
              </w:rPr>
              <w:t>Patients post radical prostatectomy with stable PSA and no treatment complications</w:t>
            </w:r>
          </w:p>
          <w:p w:rsidR="000833EE" w:rsidRPr="00816F26" w:rsidRDefault="000833EE" w:rsidP="000833EE">
            <w:pPr>
              <w:pStyle w:val="Header"/>
              <w:numPr>
                <w:ilvl w:val="0"/>
                <w:numId w:val="8"/>
              </w:numPr>
              <w:tabs>
                <w:tab w:val="clear" w:pos="4153"/>
                <w:tab w:val="clear" w:pos="8306"/>
              </w:tabs>
              <w:ind w:left="1134" w:hanging="425"/>
              <w:rPr>
                <w:rFonts w:ascii="Calibri" w:hAnsi="Calibri" w:cs="Calibri"/>
                <w:szCs w:val="22"/>
              </w:rPr>
            </w:pPr>
            <w:r w:rsidRPr="00816F26">
              <w:rPr>
                <w:rFonts w:ascii="Calibri" w:hAnsi="Calibri" w:cs="Calibri"/>
                <w:sz w:val="22"/>
                <w:szCs w:val="22"/>
              </w:rPr>
              <w:t>Post radiotherapy with stable PSA and no treatment complications</w:t>
            </w:r>
          </w:p>
          <w:p w:rsidR="000833EE" w:rsidRPr="00816F26" w:rsidRDefault="000833EE" w:rsidP="000833EE">
            <w:pPr>
              <w:pStyle w:val="Header"/>
              <w:numPr>
                <w:ilvl w:val="0"/>
                <w:numId w:val="8"/>
              </w:numPr>
              <w:tabs>
                <w:tab w:val="clear" w:pos="4153"/>
                <w:tab w:val="clear" w:pos="8306"/>
              </w:tabs>
              <w:ind w:left="1134" w:hanging="425"/>
              <w:rPr>
                <w:rFonts w:ascii="Calibri" w:hAnsi="Calibri" w:cs="Calibri"/>
                <w:szCs w:val="22"/>
              </w:rPr>
            </w:pPr>
            <w:r w:rsidRPr="00816F26">
              <w:rPr>
                <w:rFonts w:ascii="Calibri" w:hAnsi="Calibri" w:cs="Calibri"/>
                <w:sz w:val="22"/>
                <w:szCs w:val="22"/>
              </w:rPr>
              <w:t xml:space="preserve">Watchful </w:t>
            </w:r>
            <w:r>
              <w:rPr>
                <w:rFonts w:ascii="Calibri" w:hAnsi="Calibri" w:cs="Calibri"/>
                <w:sz w:val="22"/>
                <w:szCs w:val="22"/>
                <w:lang w:val="en-GB"/>
              </w:rPr>
              <w:t xml:space="preserve">Waiting </w:t>
            </w:r>
            <w:r w:rsidRPr="0069108E">
              <w:rPr>
                <w:b/>
                <w:sz w:val="22"/>
                <w:szCs w:val="22"/>
                <w:vertAlign w:val="superscript"/>
              </w:rPr>
              <w:footnoteReference w:id="1"/>
            </w:r>
            <w:r w:rsidRPr="00816F26">
              <w:rPr>
                <w:rFonts w:ascii="Calibri" w:hAnsi="Calibri" w:cs="Calibri"/>
                <w:sz w:val="22"/>
                <w:szCs w:val="22"/>
              </w:rPr>
              <w:t xml:space="preserve"> - where suitable for Primary Care management</w:t>
            </w:r>
          </w:p>
          <w:p w:rsidR="000833EE" w:rsidRPr="00816F26" w:rsidRDefault="000833EE" w:rsidP="000833EE">
            <w:pPr>
              <w:pStyle w:val="Header"/>
              <w:numPr>
                <w:ilvl w:val="0"/>
                <w:numId w:val="8"/>
              </w:numPr>
              <w:tabs>
                <w:tab w:val="clear" w:pos="4153"/>
                <w:tab w:val="clear" w:pos="8306"/>
              </w:tabs>
              <w:ind w:left="1134" w:hanging="425"/>
              <w:rPr>
                <w:rFonts w:ascii="Calibri" w:hAnsi="Calibri" w:cs="Calibri"/>
                <w:szCs w:val="22"/>
              </w:rPr>
            </w:pPr>
            <w:r w:rsidRPr="00816F26">
              <w:rPr>
                <w:rFonts w:ascii="Calibri" w:hAnsi="Calibri" w:cs="Calibri"/>
                <w:sz w:val="22"/>
                <w:szCs w:val="22"/>
              </w:rPr>
              <w:t>Patients with stable disease on hormone treatment (not necessarily metastatic)</w:t>
            </w:r>
          </w:p>
          <w:p w:rsidR="000833EE" w:rsidRDefault="000833EE" w:rsidP="000833EE">
            <w:pPr>
              <w:ind w:left="709"/>
              <w:outlineLvl w:val="1"/>
              <w:rPr>
                <w:rFonts w:ascii="Calibri" w:hAnsi="Calibri" w:cs="Calibri"/>
                <w:szCs w:val="22"/>
              </w:rPr>
            </w:pPr>
          </w:p>
          <w:p w:rsidR="000833EE" w:rsidRDefault="00EB5077" w:rsidP="000833EE">
            <w:pPr>
              <w:ind w:left="709"/>
              <w:outlineLvl w:val="1"/>
              <w:rPr>
                <w:rFonts w:ascii="Calibri" w:hAnsi="Calibri" w:cs="Calibri"/>
                <w:szCs w:val="22"/>
              </w:rPr>
            </w:pPr>
            <w:r>
              <w:rPr>
                <w:rFonts w:ascii="Calibri" w:hAnsi="Calibri" w:cs="Calibri"/>
                <w:sz w:val="22"/>
                <w:szCs w:val="22"/>
              </w:rPr>
              <w:t>Each CCG’s Local Improvement S</w:t>
            </w:r>
            <w:r w:rsidR="000833EE" w:rsidRPr="00B47D6A">
              <w:rPr>
                <w:rFonts w:ascii="Calibri" w:hAnsi="Calibri" w:cs="Calibri"/>
                <w:sz w:val="22"/>
                <w:szCs w:val="22"/>
              </w:rPr>
              <w:t xml:space="preserve">cheme is open to any </w:t>
            </w:r>
            <w:r>
              <w:rPr>
                <w:rFonts w:ascii="Calibri" w:hAnsi="Calibri" w:cs="Calibri"/>
                <w:sz w:val="22"/>
                <w:szCs w:val="22"/>
              </w:rPr>
              <w:t xml:space="preserve">CCG Member Practice’s </w:t>
            </w:r>
            <w:r w:rsidR="000833EE" w:rsidRPr="00B47D6A">
              <w:rPr>
                <w:rFonts w:ascii="Calibri" w:hAnsi="Calibri" w:cs="Calibri"/>
                <w:sz w:val="22"/>
                <w:szCs w:val="22"/>
              </w:rPr>
              <w:t>Medical Practitioner with the necessary skills and competency, and appropriate equipment to manage patient care</w:t>
            </w:r>
            <w:r>
              <w:rPr>
                <w:rFonts w:ascii="Calibri" w:hAnsi="Calibri" w:cs="Calibri"/>
                <w:sz w:val="22"/>
                <w:szCs w:val="22"/>
              </w:rPr>
              <w:t xml:space="preserve"> (as specified in each CCG’s Local Improvement Scheme agreement)</w:t>
            </w:r>
            <w:r w:rsidR="000833EE" w:rsidRPr="00B47D6A">
              <w:rPr>
                <w:rFonts w:ascii="Calibri" w:hAnsi="Calibri" w:cs="Calibri"/>
                <w:sz w:val="22"/>
                <w:szCs w:val="22"/>
              </w:rPr>
              <w:t>.</w:t>
            </w:r>
          </w:p>
          <w:p w:rsidR="000833EE" w:rsidRDefault="000833EE" w:rsidP="000833EE">
            <w:pPr>
              <w:ind w:left="709"/>
              <w:outlineLvl w:val="1"/>
              <w:rPr>
                <w:rFonts w:ascii="Calibri" w:hAnsi="Calibri" w:cs="Calibri"/>
                <w:szCs w:val="22"/>
              </w:rPr>
            </w:pPr>
            <w:r w:rsidRPr="00B47D6A">
              <w:rPr>
                <w:rFonts w:ascii="Calibri" w:hAnsi="Calibri" w:cs="Calibri"/>
                <w:sz w:val="22"/>
                <w:szCs w:val="22"/>
              </w:rPr>
              <w:t>The service comprises:</w:t>
            </w:r>
          </w:p>
          <w:p w:rsidR="000833EE" w:rsidRPr="001A57B4" w:rsidRDefault="000833EE" w:rsidP="000833EE">
            <w:pPr>
              <w:pStyle w:val="Header"/>
              <w:numPr>
                <w:ilvl w:val="0"/>
                <w:numId w:val="8"/>
              </w:numPr>
              <w:tabs>
                <w:tab w:val="clear" w:pos="4153"/>
                <w:tab w:val="clear" w:pos="8306"/>
              </w:tabs>
              <w:ind w:left="1134" w:hanging="425"/>
              <w:rPr>
                <w:rFonts w:ascii="Calibri" w:hAnsi="Calibri" w:cs="Calibri"/>
                <w:szCs w:val="22"/>
              </w:rPr>
            </w:pPr>
            <w:r w:rsidRPr="00816F26">
              <w:rPr>
                <w:rFonts w:ascii="Calibri" w:hAnsi="Calibri" w:cs="Calibri"/>
                <w:sz w:val="22"/>
                <w:szCs w:val="22"/>
              </w:rPr>
              <w:t>Monitoring of PSA levels as specified in the individual management plan (</w:t>
            </w:r>
            <w:r w:rsidRPr="00816F26">
              <w:rPr>
                <w:rFonts w:ascii="Calibri" w:hAnsi="Calibri" w:cs="Calibri"/>
                <w:b/>
                <w:sz w:val="22"/>
                <w:szCs w:val="22"/>
              </w:rPr>
              <w:t>Appendix 2a</w:t>
            </w:r>
            <w:r w:rsidRPr="00816F26">
              <w:rPr>
                <w:rFonts w:ascii="Calibri" w:hAnsi="Calibri" w:cs="Calibri"/>
                <w:sz w:val="22"/>
                <w:szCs w:val="22"/>
              </w:rPr>
              <w:t>)</w:t>
            </w:r>
          </w:p>
          <w:p w:rsidR="000833EE" w:rsidRPr="00816F26" w:rsidRDefault="000833EE" w:rsidP="000833EE">
            <w:pPr>
              <w:pStyle w:val="Header"/>
              <w:tabs>
                <w:tab w:val="clear" w:pos="4153"/>
                <w:tab w:val="clear" w:pos="8306"/>
              </w:tabs>
              <w:ind w:left="1134"/>
              <w:rPr>
                <w:rFonts w:ascii="Calibri" w:hAnsi="Calibri" w:cs="Calibri"/>
                <w:szCs w:val="22"/>
              </w:rPr>
            </w:pPr>
          </w:p>
          <w:p w:rsidR="000833EE" w:rsidRPr="00816F26" w:rsidRDefault="000833EE" w:rsidP="000833EE">
            <w:pPr>
              <w:pStyle w:val="Header"/>
              <w:numPr>
                <w:ilvl w:val="0"/>
                <w:numId w:val="8"/>
              </w:numPr>
              <w:tabs>
                <w:tab w:val="clear" w:pos="4153"/>
                <w:tab w:val="clear" w:pos="8306"/>
              </w:tabs>
              <w:ind w:left="1134" w:hanging="425"/>
              <w:rPr>
                <w:rFonts w:ascii="Calibri" w:hAnsi="Calibri" w:cs="Calibri"/>
                <w:szCs w:val="22"/>
              </w:rPr>
            </w:pPr>
            <w:r w:rsidRPr="00816F26">
              <w:rPr>
                <w:rFonts w:ascii="Calibri" w:hAnsi="Calibri" w:cs="Calibri"/>
                <w:sz w:val="22"/>
                <w:szCs w:val="22"/>
              </w:rPr>
              <w:t xml:space="preserve">Prescribing and administration of GnRHa injections where clinically indicated and specified in the individual management plan, and in accordance with the roles and responsibilities specified in </w:t>
            </w:r>
            <w:r w:rsidRPr="00816F26">
              <w:rPr>
                <w:rFonts w:ascii="Calibri" w:hAnsi="Calibri" w:cs="Calibri"/>
                <w:b/>
                <w:i/>
                <w:sz w:val="22"/>
                <w:szCs w:val="22"/>
              </w:rPr>
              <w:t>Appendix 2b</w:t>
            </w:r>
            <w:r>
              <w:rPr>
                <w:rFonts w:ascii="Calibri" w:hAnsi="Calibri" w:cs="Calibri"/>
                <w:sz w:val="22"/>
                <w:szCs w:val="22"/>
                <w:lang w:val="en-GB"/>
              </w:rPr>
              <w:t>.</w:t>
            </w:r>
          </w:p>
          <w:p w:rsidR="000833EE" w:rsidRPr="00B47D6A" w:rsidRDefault="000833EE" w:rsidP="000833EE">
            <w:pPr>
              <w:pStyle w:val="Header"/>
              <w:tabs>
                <w:tab w:val="clear" w:pos="4153"/>
                <w:tab w:val="clear" w:pos="8306"/>
              </w:tabs>
              <w:ind w:left="1134"/>
              <w:rPr>
                <w:rFonts w:ascii="Calibri" w:hAnsi="Calibri" w:cs="Calibri"/>
                <w:szCs w:val="22"/>
              </w:rPr>
            </w:pPr>
          </w:p>
          <w:p w:rsidR="000833EE" w:rsidRDefault="000833EE" w:rsidP="000833EE">
            <w:pPr>
              <w:ind w:left="709"/>
              <w:outlineLvl w:val="1"/>
              <w:rPr>
                <w:rFonts w:ascii="Calibri" w:hAnsi="Calibri" w:cs="Calibri"/>
                <w:szCs w:val="22"/>
              </w:rPr>
            </w:pPr>
            <w:r w:rsidRPr="00B47D6A">
              <w:rPr>
                <w:rFonts w:ascii="Calibri" w:hAnsi="Calibri" w:cs="Calibri"/>
                <w:sz w:val="22"/>
                <w:szCs w:val="22"/>
              </w:rPr>
              <w:t>This will include the following medications:</w:t>
            </w:r>
          </w:p>
          <w:p w:rsidR="000833EE" w:rsidRPr="001A57B4" w:rsidRDefault="000833EE" w:rsidP="000833EE">
            <w:pPr>
              <w:pStyle w:val="Header"/>
              <w:numPr>
                <w:ilvl w:val="0"/>
                <w:numId w:val="8"/>
              </w:numPr>
              <w:tabs>
                <w:tab w:val="clear" w:pos="4153"/>
                <w:tab w:val="clear" w:pos="8306"/>
              </w:tabs>
              <w:ind w:left="1134" w:hanging="425"/>
              <w:rPr>
                <w:rFonts w:ascii="Calibri" w:hAnsi="Calibri" w:cs="Calibri"/>
                <w:szCs w:val="22"/>
              </w:rPr>
            </w:pPr>
            <w:r w:rsidRPr="001A57B4">
              <w:rPr>
                <w:rFonts w:ascii="Calibri" w:hAnsi="Calibri" w:cs="Calibri"/>
                <w:sz w:val="22"/>
                <w:szCs w:val="22"/>
              </w:rPr>
              <w:t>Goserelin or Leuprorelin  – Prostate Cancer</w:t>
            </w:r>
          </w:p>
          <w:p w:rsidR="000833EE" w:rsidRPr="001A57B4" w:rsidRDefault="000833EE" w:rsidP="000833EE">
            <w:pPr>
              <w:pStyle w:val="Header"/>
              <w:tabs>
                <w:tab w:val="clear" w:pos="4153"/>
                <w:tab w:val="clear" w:pos="8306"/>
              </w:tabs>
              <w:ind w:left="1134"/>
              <w:rPr>
                <w:rFonts w:ascii="Calibri" w:hAnsi="Calibri" w:cs="Calibri"/>
                <w:szCs w:val="22"/>
              </w:rPr>
            </w:pPr>
          </w:p>
          <w:p w:rsidR="000833EE" w:rsidRPr="00A02D0D" w:rsidRDefault="00A02D0D" w:rsidP="000833EE">
            <w:pPr>
              <w:pStyle w:val="Header"/>
              <w:numPr>
                <w:ilvl w:val="0"/>
                <w:numId w:val="8"/>
              </w:numPr>
              <w:tabs>
                <w:tab w:val="clear" w:pos="4153"/>
                <w:tab w:val="clear" w:pos="8306"/>
              </w:tabs>
              <w:ind w:left="1134" w:hanging="425"/>
              <w:rPr>
                <w:rFonts w:ascii="Calibri" w:hAnsi="Calibri" w:cs="Calibri"/>
                <w:szCs w:val="22"/>
              </w:rPr>
            </w:pPr>
            <w:r w:rsidRPr="00A02D0D">
              <w:rPr>
                <w:rFonts w:ascii="Calibri" w:hAnsi="Calibri" w:cs="Calibri"/>
                <w:sz w:val="22"/>
                <w:szCs w:val="22"/>
              </w:rPr>
              <w:t>Triptorelin</w:t>
            </w:r>
            <w:r>
              <w:rPr>
                <w:rFonts w:ascii="Calibri" w:hAnsi="Calibri" w:cs="Calibri"/>
                <w:sz w:val="22"/>
                <w:szCs w:val="22"/>
              </w:rPr>
              <w:t xml:space="preserve"> (Consultant to use TOC comments section to request prescribing).</w:t>
            </w:r>
          </w:p>
          <w:p w:rsidR="00FF146C" w:rsidRDefault="00FF146C" w:rsidP="00FF146C">
            <w:pPr>
              <w:pStyle w:val="ListParagraph"/>
              <w:rPr>
                <w:rFonts w:ascii="Calibri" w:hAnsi="Calibri" w:cs="Calibri"/>
                <w:szCs w:val="22"/>
              </w:rPr>
            </w:pPr>
          </w:p>
          <w:p w:rsidR="000833EE" w:rsidRDefault="00FF146C" w:rsidP="002E40FB">
            <w:pPr>
              <w:pStyle w:val="Header"/>
              <w:tabs>
                <w:tab w:val="clear" w:pos="4153"/>
                <w:tab w:val="clear" w:pos="8306"/>
              </w:tabs>
              <w:ind w:left="743"/>
              <w:rPr>
                <w:rFonts w:ascii="Arial" w:hAnsi="Arial" w:cs="Arial"/>
                <w:color w:val="009966"/>
                <w:sz w:val="20"/>
              </w:rPr>
            </w:pPr>
            <w:r w:rsidRPr="00FF146C">
              <w:rPr>
                <w:rFonts w:ascii="Calibri" w:hAnsi="Calibri" w:cs="Calibri"/>
                <w:b/>
                <w:sz w:val="22"/>
                <w:szCs w:val="22"/>
              </w:rPr>
              <w:t>Appendix 2c</w:t>
            </w:r>
            <w:r>
              <w:rPr>
                <w:rFonts w:ascii="Calibri" w:hAnsi="Calibri" w:cs="Calibri"/>
                <w:b/>
                <w:sz w:val="22"/>
                <w:szCs w:val="22"/>
              </w:rPr>
              <w:t xml:space="preserve"> </w:t>
            </w:r>
            <w:r>
              <w:rPr>
                <w:rFonts w:ascii="Calibri" w:hAnsi="Calibri" w:cs="Calibri"/>
                <w:sz w:val="22"/>
                <w:szCs w:val="22"/>
              </w:rPr>
              <w:t xml:space="preserve">shows a proforma template that can be used by GP practices to </w:t>
            </w:r>
            <w:r>
              <w:rPr>
                <w:rFonts w:ascii="Calibri" w:hAnsi="Calibri" w:cs="Calibri"/>
                <w:sz w:val="22"/>
                <w:szCs w:val="22"/>
              </w:rPr>
              <w:lastRenderedPageBreak/>
              <w:t>request secondary care services to consider a disc</w:t>
            </w:r>
            <w:r w:rsidR="002E40FB">
              <w:rPr>
                <w:rFonts w:ascii="Calibri" w:hAnsi="Calibri" w:cs="Calibri"/>
                <w:sz w:val="22"/>
                <w:szCs w:val="22"/>
              </w:rPr>
              <w:t>harge of a patient.</w:t>
            </w:r>
          </w:p>
          <w:p w:rsidR="000833EE" w:rsidRDefault="000833EE" w:rsidP="00FF146C">
            <w:pPr>
              <w:spacing w:after="0"/>
              <w:rPr>
                <w:rFonts w:ascii="Arial" w:hAnsi="Arial" w:cs="Arial"/>
                <w:color w:val="009966"/>
                <w:sz w:val="20"/>
              </w:rPr>
            </w:pPr>
          </w:p>
          <w:p w:rsidR="00FF146C" w:rsidRDefault="00FF146C" w:rsidP="00FF146C">
            <w:pPr>
              <w:spacing w:after="0"/>
              <w:rPr>
                <w:rFonts w:ascii="Arial" w:hAnsi="Arial" w:cs="Arial"/>
                <w:color w:val="009966"/>
                <w:sz w:val="20"/>
              </w:rPr>
            </w:pPr>
          </w:p>
          <w:p w:rsidR="00FF146C" w:rsidRDefault="00FF146C" w:rsidP="00FF146C">
            <w:pPr>
              <w:spacing w:after="0"/>
              <w:rPr>
                <w:rFonts w:ascii="Arial" w:hAnsi="Arial" w:cs="Arial"/>
                <w:color w:val="009966"/>
                <w:sz w:val="20"/>
              </w:rPr>
            </w:pPr>
          </w:p>
          <w:p w:rsidR="00304CBD" w:rsidRPr="00F47C01" w:rsidRDefault="00304CBD" w:rsidP="00FF146C">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.3</w:t>
            </w:r>
            <w:r w:rsidRPr="00F47C01">
              <w:rPr>
                <w:rFonts w:ascii="Arial" w:hAnsi="Arial" w:cs="Arial"/>
                <w:b/>
                <w:color w:val="009966"/>
                <w:sz w:val="20"/>
              </w:rPr>
              <w:tab/>
              <w:t>Population covered</w:t>
            </w:r>
          </w:p>
          <w:p w:rsidR="00304CBD" w:rsidRPr="00390A2D" w:rsidRDefault="00304CBD" w:rsidP="00FF146C">
            <w:pPr>
              <w:spacing w:after="0"/>
              <w:rPr>
                <w:rFonts w:ascii="Arial" w:hAnsi="Arial" w:cs="Arial"/>
                <w:color w:val="009966"/>
                <w:sz w:val="20"/>
              </w:rPr>
            </w:pPr>
          </w:p>
          <w:p w:rsidR="000833EE" w:rsidRPr="00B47D6A" w:rsidRDefault="000833EE" w:rsidP="000833EE">
            <w:pPr>
              <w:ind w:left="709"/>
              <w:rPr>
                <w:rFonts w:ascii="Calibri" w:hAnsi="Calibri" w:cs="Calibri"/>
                <w:szCs w:val="22"/>
              </w:rPr>
            </w:pPr>
            <w:r>
              <w:rPr>
                <w:rFonts w:ascii="Calibri" w:hAnsi="Calibri" w:cs="Calibri"/>
                <w:sz w:val="22"/>
                <w:szCs w:val="22"/>
              </w:rPr>
              <w:t xml:space="preserve">The GP registered populations of Birmingham Cross City, </w:t>
            </w:r>
            <w:r w:rsidR="002E40FB">
              <w:rPr>
                <w:rFonts w:ascii="Calibri" w:hAnsi="Calibri" w:cs="Calibri"/>
                <w:sz w:val="22"/>
                <w:szCs w:val="22"/>
              </w:rPr>
              <w:t xml:space="preserve">Birmingham South Central, </w:t>
            </w:r>
            <w:r>
              <w:rPr>
                <w:rFonts w:ascii="Calibri" w:hAnsi="Calibri" w:cs="Calibri"/>
                <w:sz w:val="22"/>
                <w:szCs w:val="22"/>
              </w:rPr>
              <w:t>Solihull and South East Staffordshire and Seisdon</w:t>
            </w:r>
            <w:r w:rsidR="00EB5077">
              <w:rPr>
                <w:rFonts w:ascii="Calibri" w:hAnsi="Calibri" w:cs="Calibri"/>
                <w:sz w:val="22"/>
                <w:szCs w:val="22"/>
              </w:rPr>
              <w:t xml:space="preserve"> Peninsula </w:t>
            </w:r>
            <w:r>
              <w:rPr>
                <w:rFonts w:ascii="Calibri" w:hAnsi="Calibri" w:cs="Calibri"/>
                <w:sz w:val="22"/>
                <w:szCs w:val="22"/>
              </w:rPr>
              <w:t>CCGs.</w:t>
            </w:r>
          </w:p>
          <w:p w:rsidR="00304CBD" w:rsidRPr="00F47C01" w:rsidRDefault="00304CBD" w:rsidP="00FF146C">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.4</w:t>
            </w:r>
            <w:r w:rsidRPr="00F47C01">
              <w:rPr>
                <w:rFonts w:ascii="Arial" w:hAnsi="Arial" w:cs="Arial"/>
                <w:b/>
                <w:color w:val="009966"/>
                <w:sz w:val="20"/>
              </w:rPr>
              <w:tab/>
              <w:t>Any acceptance and exclusion criteria</w:t>
            </w:r>
            <w:r>
              <w:rPr>
                <w:rFonts w:ascii="Arial" w:hAnsi="Arial" w:cs="Arial"/>
                <w:b/>
                <w:color w:val="009966"/>
                <w:sz w:val="20"/>
              </w:rPr>
              <w:t xml:space="preserve"> and thresholds</w:t>
            </w:r>
          </w:p>
          <w:p w:rsidR="00304CBD" w:rsidRPr="00390A2D" w:rsidRDefault="00304CBD" w:rsidP="00FF146C">
            <w:pPr>
              <w:spacing w:after="0"/>
              <w:rPr>
                <w:rFonts w:ascii="Arial" w:hAnsi="Arial" w:cs="Arial"/>
                <w:color w:val="009966"/>
                <w:sz w:val="20"/>
              </w:rPr>
            </w:pPr>
          </w:p>
          <w:p w:rsidR="000833EE" w:rsidRPr="00816F26" w:rsidRDefault="000833EE" w:rsidP="000833EE">
            <w:pPr>
              <w:pStyle w:val="Header"/>
              <w:numPr>
                <w:ilvl w:val="0"/>
                <w:numId w:val="8"/>
              </w:numPr>
              <w:tabs>
                <w:tab w:val="clear" w:pos="4153"/>
                <w:tab w:val="clear" w:pos="8306"/>
              </w:tabs>
              <w:ind w:left="1134" w:hanging="425"/>
              <w:rPr>
                <w:rFonts w:ascii="Calibri" w:hAnsi="Calibri" w:cs="Calibri"/>
                <w:szCs w:val="22"/>
              </w:rPr>
            </w:pPr>
            <w:r w:rsidRPr="00816F26">
              <w:rPr>
                <w:rFonts w:ascii="Calibri" w:hAnsi="Calibri" w:cs="Calibri"/>
                <w:b/>
                <w:sz w:val="22"/>
                <w:szCs w:val="22"/>
              </w:rPr>
              <w:t>Exclusion:</w:t>
            </w:r>
            <w:r w:rsidRPr="00816F26">
              <w:rPr>
                <w:rFonts w:ascii="Calibri" w:hAnsi="Calibri" w:cs="Calibri"/>
                <w:sz w:val="22"/>
                <w:szCs w:val="22"/>
              </w:rPr>
              <w:t xml:space="preserve"> Active monitoring</w:t>
            </w:r>
            <w:r>
              <w:rPr>
                <w:rFonts w:ascii="Calibri" w:hAnsi="Calibri" w:cs="Calibri"/>
                <w:sz w:val="22"/>
                <w:szCs w:val="22"/>
                <w:lang w:val="en-GB"/>
              </w:rPr>
              <w:t xml:space="preserve"> </w:t>
            </w:r>
            <w:r w:rsidRPr="0069108E">
              <w:rPr>
                <w:b/>
                <w:sz w:val="22"/>
                <w:szCs w:val="22"/>
                <w:vertAlign w:val="superscript"/>
              </w:rPr>
              <w:footnoteReference w:id="2"/>
            </w:r>
            <w:r w:rsidRPr="00816F26">
              <w:rPr>
                <w:rFonts w:ascii="Calibri" w:hAnsi="Calibri" w:cs="Calibri"/>
                <w:sz w:val="22"/>
                <w:szCs w:val="22"/>
              </w:rPr>
              <w:t xml:space="preserve"> – not included in th</w:t>
            </w:r>
            <w:r>
              <w:rPr>
                <w:rFonts w:ascii="Calibri" w:hAnsi="Calibri" w:cs="Calibri"/>
                <w:sz w:val="22"/>
                <w:szCs w:val="22"/>
                <w:lang w:val="en-GB"/>
              </w:rPr>
              <w:t>is specification</w:t>
            </w:r>
            <w:r w:rsidRPr="00816F26">
              <w:rPr>
                <w:rFonts w:ascii="Calibri" w:hAnsi="Calibri" w:cs="Calibri"/>
                <w:sz w:val="22"/>
                <w:szCs w:val="22"/>
              </w:rPr>
              <w:t xml:space="preserve"> but subject to clinical review at the end of 201</w:t>
            </w:r>
            <w:r>
              <w:rPr>
                <w:rFonts w:ascii="Calibri" w:hAnsi="Calibri" w:cs="Calibri"/>
                <w:sz w:val="22"/>
                <w:szCs w:val="22"/>
                <w:lang w:val="en-GB"/>
              </w:rPr>
              <w:t>4</w:t>
            </w:r>
            <w:r w:rsidRPr="00816F26">
              <w:rPr>
                <w:rFonts w:ascii="Calibri" w:hAnsi="Calibri" w:cs="Calibri"/>
                <w:sz w:val="22"/>
                <w:szCs w:val="22"/>
              </w:rPr>
              <w:t>/1</w:t>
            </w:r>
            <w:r>
              <w:rPr>
                <w:rFonts w:ascii="Calibri" w:hAnsi="Calibri" w:cs="Calibri"/>
                <w:sz w:val="22"/>
                <w:szCs w:val="22"/>
                <w:lang w:val="en-GB"/>
              </w:rPr>
              <w:t>5</w:t>
            </w:r>
            <w:r w:rsidRPr="00816F26">
              <w:rPr>
                <w:rFonts w:ascii="Calibri" w:hAnsi="Calibri" w:cs="Calibri"/>
                <w:sz w:val="22"/>
                <w:szCs w:val="22"/>
              </w:rPr>
              <w:t xml:space="preserve"> for possible inclusion in 201</w:t>
            </w:r>
            <w:r>
              <w:rPr>
                <w:rFonts w:ascii="Calibri" w:hAnsi="Calibri" w:cs="Calibri"/>
                <w:sz w:val="22"/>
                <w:szCs w:val="22"/>
                <w:lang w:val="en-GB"/>
              </w:rPr>
              <w:t>5</w:t>
            </w:r>
            <w:r w:rsidRPr="00816F26">
              <w:rPr>
                <w:rFonts w:ascii="Calibri" w:hAnsi="Calibri" w:cs="Calibri"/>
                <w:sz w:val="22"/>
                <w:szCs w:val="22"/>
              </w:rPr>
              <w:t>/1</w:t>
            </w:r>
            <w:r>
              <w:rPr>
                <w:rFonts w:ascii="Calibri" w:hAnsi="Calibri" w:cs="Calibri"/>
                <w:sz w:val="22"/>
                <w:szCs w:val="22"/>
                <w:lang w:val="en-GB"/>
              </w:rPr>
              <w:t>6</w:t>
            </w:r>
          </w:p>
          <w:p w:rsidR="000833EE" w:rsidRPr="00816F26" w:rsidRDefault="000833EE" w:rsidP="000833EE">
            <w:pPr>
              <w:pStyle w:val="Header"/>
              <w:numPr>
                <w:ilvl w:val="0"/>
                <w:numId w:val="8"/>
              </w:numPr>
              <w:tabs>
                <w:tab w:val="clear" w:pos="4153"/>
                <w:tab w:val="clear" w:pos="8306"/>
              </w:tabs>
              <w:ind w:left="1134" w:hanging="425"/>
              <w:rPr>
                <w:rFonts w:ascii="Calibri" w:hAnsi="Calibri" w:cs="Calibri"/>
                <w:szCs w:val="22"/>
              </w:rPr>
            </w:pPr>
            <w:r w:rsidRPr="00816F26">
              <w:rPr>
                <w:rFonts w:ascii="Calibri" w:hAnsi="Calibri" w:cs="Calibri"/>
                <w:b/>
                <w:sz w:val="22"/>
                <w:szCs w:val="22"/>
              </w:rPr>
              <w:t>Exclusion:</w:t>
            </w:r>
            <w:r w:rsidRPr="00816F26">
              <w:rPr>
                <w:rFonts w:ascii="Calibri" w:hAnsi="Calibri" w:cs="Calibri"/>
                <w:sz w:val="22"/>
                <w:szCs w:val="22"/>
              </w:rPr>
              <w:t xml:space="preserve"> Intermittent GnRHa therapy patients – not included in the 201</w:t>
            </w:r>
            <w:r>
              <w:rPr>
                <w:rFonts w:ascii="Calibri" w:hAnsi="Calibri" w:cs="Calibri"/>
                <w:sz w:val="22"/>
                <w:szCs w:val="22"/>
                <w:lang w:val="en-GB"/>
              </w:rPr>
              <w:t>4</w:t>
            </w:r>
            <w:r w:rsidRPr="00816F26">
              <w:rPr>
                <w:rFonts w:ascii="Calibri" w:hAnsi="Calibri" w:cs="Calibri"/>
                <w:sz w:val="22"/>
                <w:szCs w:val="22"/>
              </w:rPr>
              <w:t>/1</w:t>
            </w:r>
            <w:r>
              <w:rPr>
                <w:rFonts w:ascii="Calibri" w:hAnsi="Calibri" w:cs="Calibri"/>
                <w:sz w:val="22"/>
                <w:szCs w:val="22"/>
                <w:lang w:val="en-GB"/>
              </w:rPr>
              <w:t>5</w:t>
            </w:r>
            <w:r w:rsidRPr="00816F26">
              <w:rPr>
                <w:rFonts w:ascii="Calibri" w:hAnsi="Calibri" w:cs="Calibri"/>
                <w:sz w:val="22"/>
                <w:szCs w:val="22"/>
              </w:rPr>
              <w:t xml:space="preserve"> </w:t>
            </w:r>
            <w:r>
              <w:rPr>
                <w:rFonts w:ascii="Calibri" w:hAnsi="Calibri" w:cs="Calibri"/>
                <w:sz w:val="22"/>
                <w:szCs w:val="22"/>
                <w:lang w:val="en-GB"/>
              </w:rPr>
              <w:t xml:space="preserve">service specification </w:t>
            </w:r>
            <w:r w:rsidRPr="00816F26">
              <w:rPr>
                <w:rFonts w:ascii="Calibri" w:hAnsi="Calibri" w:cs="Calibri"/>
                <w:sz w:val="22"/>
                <w:szCs w:val="22"/>
              </w:rPr>
              <w:t>but subject to clinical review for possible inclusion in 201</w:t>
            </w:r>
            <w:r>
              <w:rPr>
                <w:rFonts w:ascii="Calibri" w:hAnsi="Calibri" w:cs="Calibri"/>
                <w:sz w:val="22"/>
                <w:szCs w:val="22"/>
                <w:lang w:val="en-GB"/>
              </w:rPr>
              <w:t>5</w:t>
            </w:r>
            <w:r w:rsidRPr="00816F26">
              <w:rPr>
                <w:rFonts w:ascii="Calibri" w:hAnsi="Calibri" w:cs="Calibri"/>
                <w:sz w:val="22"/>
                <w:szCs w:val="22"/>
              </w:rPr>
              <w:t>/1</w:t>
            </w:r>
            <w:r>
              <w:rPr>
                <w:rFonts w:ascii="Calibri" w:hAnsi="Calibri" w:cs="Calibri"/>
                <w:sz w:val="22"/>
                <w:szCs w:val="22"/>
                <w:lang w:val="en-GB"/>
              </w:rPr>
              <w:t>6</w:t>
            </w:r>
            <w:r w:rsidRPr="00816F26">
              <w:rPr>
                <w:rFonts w:ascii="Calibri" w:hAnsi="Calibri" w:cs="Calibri"/>
                <w:sz w:val="22"/>
                <w:szCs w:val="22"/>
              </w:rPr>
              <w:t>.</w:t>
            </w:r>
          </w:p>
          <w:p w:rsidR="000833EE" w:rsidRPr="00390A2D" w:rsidRDefault="000833EE" w:rsidP="00FF146C">
            <w:pPr>
              <w:spacing w:after="0"/>
              <w:rPr>
                <w:rFonts w:ascii="Arial" w:hAnsi="Arial" w:cs="Arial"/>
                <w:color w:val="009966"/>
                <w:sz w:val="20"/>
              </w:rPr>
            </w:pPr>
          </w:p>
          <w:p w:rsidR="00304CBD" w:rsidRPr="00F47C01" w:rsidRDefault="00304CBD" w:rsidP="00FF146C">
            <w:pPr>
              <w:spacing w:after="0"/>
              <w:rPr>
                <w:rFonts w:ascii="Arial" w:hAnsi="Arial" w:cs="Arial"/>
                <w:b/>
                <w:color w:val="009966"/>
                <w:sz w:val="20"/>
              </w:rPr>
            </w:pPr>
            <w:r>
              <w:rPr>
                <w:rFonts w:ascii="Arial" w:hAnsi="Arial" w:cs="Arial"/>
                <w:b/>
                <w:color w:val="009966"/>
                <w:sz w:val="20"/>
              </w:rPr>
              <w:t>3</w:t>
            </w:r>
            <w:r w:rsidRPr="00F47C01">
              <w:rPr>
                <w:rFonts w:ascii="Arial" w:hAnsi="Arial" w:cs="Arial"/>
                <w:b/>
                <w:color w:val="009966"/>
                <w:sz w:val="20"/>
              </w:rPr>
              <w:t>.5</w:t>
            </w:r>
            <w:r w:rsidRPr="00F47C01">
              <w:rPr>
                <w:rFonts w:ascii="Arial" w:hAnsi="Arial" w:cs="Arial"/>
                <w:b/>
                <w:color w:val="009966"/>
                <w:sz w:val="20"/>
              </w:rPr>
              <w:tab/>
              <w:t>Interdependence with other services</w:t>
            </w:r>
            <w:r>
              <w:rPr>
                <w:rFonts w:ascii="Arial" w:hAnsi="Arial" w:cs="Arial"/>
                <w:b/>
                <w:color w:val="009966"/>
                <w:sz w:val="20"/>
              </w:rPr>
              <w:t>/providers</w:t>
            </w:r>
          </w:p>
          <w:p w:rsidR="00304CBD" w:rsidRDefault="00304CBD" w:rsidP="00FF146C">
            <w:pPr>
              <w:spacing w:after="0"/>
              <w:rPr>
                <w:rFonts w:ascii="Arial" w:hAnsi="Arial" w:cs="Arial"/>
                <w:color w:val="009966"/>
                <w:sz w:val="20"/>
              </w:rPr>
            </w:pPr>
          </w:p>
          <w:p w:rsidR="000833EE" w:rsidRPr="000833EE" w:rsidRDefault="000833EE" w:rsidP="000833EE">
            <w:pPr>
              <w:pStyle w:val="Header"/>
              <w:numPr>
                <w:ilvl w:val="0"/>
                <w:numId w:val="8"/>
              </w:numPr>
              <w:tabs>
                <w:tab w:val="clear" w:pos="4153"/>
                <w:tab w:val="clear" w:pos="8306"/>
              </w:tabs>
              <w:ind w:left="1134" w:hanging="425"/>
              <w:rPr>
                <w:rFonts w:ascii="Calibri" w:hAnsi="Calibri" w:cs="Calibri"/>
                <w:szCs w:val="22"/>
              </w:rPr>
            </w:pPr>
            <w:r w:rsidRPr="000833EE">
              <w:rPr>
                <w:rFonts w:ascii="Calibri" w:hAnsi="Calibri" w:cs="Calibri"/>
                <w:sz w:val="22"/>
                <w:szCs w:val="22"/>
                <w:lang w:val="en-GB"/>
              </w:rPr>
              <w:t xml:space="preserve">CCG </w:t>
            </w:r>
            <w:r w:rsidRPr="000833EE">
              <w:rPr>
                <w:rFonts w:ascii="Calibri" w:hAnsi="Calibri" w:cs="Calibri"/>
                <w:sz w:val="22"/>
                <w:szCs w:val="22"/>
              </w:rPr>
              <w:t xml:space="preserve">Clinical Commissioners </w:t>
            </w:r>
          </w:p>
          <w:p w:rsidR="000833EE" w:rsidRPr="00680863" w:rsidRDefault="000833EE" w:rsidP="000833EE">
            <w:pPr>
              <w:pStyle w:val="Header"/>
              <w:numPr>
                <w:ilvl w:val="0"/>
                <w:numId w:val="8"/>
              </w:numPr>
              <w:tabs>
                <w:tab w:val="clear" w:pos="4153"/>
                <w:tab w:val="clear" w:pos="8306"/>
              </w:tabs>
              <w:ind w:left="1134" w:hanging="425"/>
              <w:rPr>
                <w:rFonts w:ascii="Calibri" w:hAnsi="Calibri" w:cs="Calibri"/>
                <w:szCs w:val="22"/>
              </w:rPr>
            </w:pPr>
            <w:r w:rsidRPr="00B47D6A">
              <w:rPr>
                <w:rFonts w:ascii="Calibri" w:hAnsi="Calibri" w:cs="Calibri"/>
                <w:sz w:val="22"/>
                <w:szCs w:val="22"/>
              </w:rPr>
              <w:t>Other Primary Care GP Providers  (if a patient transfers to the practice the patient hand held record book will contain a note to remind the patient that it is their responsibility to contact their new GP and inform them of their prostate condition and the ensure there is continuity in surveillance arrangements )</w:t>
            </w:r>
          </w:p>
          <w:p w:rsidR="000833EE" w:rsidRPr="00680863" w:rsidRDefault="000833EE" w:rsidP="000833EE">
            <w:pPr>
              <w:pStyle w:val="Header"/>
              <w:numPr>
                <w:ilvl w:val="0"/>
                <w:numId w:val="8"/>
              </w:numPr>
              <w:tabs>
                <w:tab w:val="clear" w:pos="4153"/>
                <w:tab w:val="clear" w:pos="8306"/>
              </w:tabs>
              <w:ind w:left="1134" w:hanging="425"/>
              <w:rPr>
                <w:rFonts w:ascii="Calibri" w:hAnsi="Calibri" w:cs="Calibri"/>
                <w:szCs w:val="22"/>
              </w:rPr>
            </w:pPr>
            <w:r w:rsidRPr="00680863">
              <w:rPr>
                <w:rFonts w:ascii="Calibri" w:hAnsi="Calibri" w:cs="Calibri"/>
                <w:sz w:val="22"/>
                <w:szCs w:val="22"/>
              </w:rPr>
              <w:t>Acute hospitals Urology Centres / Departments</w:t>
            </w:r>
          </w:p>
          <w:p w:rsidR="000833EE" w:rsidRPr="00680863" w:rsidRDefault="000833EE" w:rsidP="000833EE">
            <w:pPr>
              <w:pStyle w:val="Header"/>
              <w:numPr>
                <w:ilvl w:val="0"/>
                <w:numId w:val="8"/>
              </w:numPr>
              <w:tabs>
                <w:tab w:val="clear" w:pos="4153"/>
                <w:tab w:val="clear" w:pos="8306"/>
              </w:tabs>
              <w:ind w:left="1134" w:hanging="425"/>
              <w:rPr>
                <w:rFonts w:ascii="Calibri" w:hAnsi="Calibri" w:cs="Calibri"/>
                <w:szCs w:val="22"/>
              </w:rPr>
            </w:pPr>
            <w:r w:rsidRPr="00680863">
              <w:rPr>
                <w:rFonts w:ascii="Calibri" w:hAnsi="Calibri" w:cs="Calibri"/>
                <w:sz w:val="22"/>
                <w:szCs w:val="22"/>
              </w:rPr>
              <w:t>Pan Birmingham Cancer Network as appropriate</w:t>
            </w:r>
          </w:p>
          <w:p w:rsidR="000833EE" w:rsidRPr="00680863" w:rsidRDefault="000833EE" w:rsidP="000833EE">
            <w:pPr>
              <w:pStyle w:val="Header"/>
              <w:tabs>
                <w:tab w:val="clear" w:pos="4153"/>
                <w:tab w:val="clear" w:pos="8306"/>
              </w:tabs>
              <w:ind w:left="1134"/>
              <w:rPr>
                <w:rFonts w:ascii="Calibri" w:hAnsi="Calibri" w:cs="Calibri"/>
                <w:szCs w:val="22"/>
              </w:rPr>
            </w:pPr>
          </w:p>
          <w:p w:rsidR="000833EE" w:rsidRPr="00B47D6A" w:rsidRDefault="000833EE" w:rsidP="000833EE">
            <w:pPr>
              <w:ind w:left="709"/>
              <w:jc w:val="both"/>
              <w:outlineLvl w:val="1"/>
              <w:rPr>
                <w:rFonts w:ascii="Calibri" w:hAnsi="Calibri" w:cs="Calibri"/>
                <w:b/>
                <w:szCs w:val="22"/>
              </w:rPr>
            </w:pPr>
            <w:r w:rsidRPr="00B47D6A">
              <w:rPr>
                <w:rFonts w:ascii="Calibri" w:hAnsi="Calibri" w:cs="Calibri"/>
                <w:b/>
                <w:sz w:val="22"/>
                <w:szCs w:val="22"/>
              </w:rPr>
              <w:t>Relevant Clinical Networks and Screening Programmes</w:t>
            </w:r>
          </w:p>
          <w:p w:rsidR="000833EE" w:rsidRPr="00680863" w:rsidRDefault="000833EE" w:rsidP="000833EE">
            <w:pPr>
              <w:pStyle w:val="Header"/>
              <w:numPr>
                <w:ilvl w:val="0"/>
                <w:numId w:val="8"/>
              </w:numPr>
              <w:tabs>
                <w:tab w:val="clear" w:pos="4153"/>
                <w:tab w:val="clear" w:pos="8306"/>
              </w:tabs>
              <w:ind w:left="1134" w:hanging="425"/>
              <w:rPr>
                <w:rFonts w:ascii="Calibri" w:hAnsi="Calibri" w:cs="Calibri"/>
                <w:szCs w:val="22"/>
              </w:rPr>
            </w:pPr>
            <w:r w:rsidRPr="00680863">
              <w:rPr>
                <w:rFonts w:ascii="Calibri" w:hAnsi="Calibri" w:cs="Calibri"/>
                <w:sz w:val="22"/>
                <w:szCs w:val="22"/>
              </w:rPr>
              <w:t>Pan Birmingham Cancer Network</w:t>
            </w:r>
          </w:p>
          <w:p w:rsidR="000833EE" w:rsidRPr="00390A2D" w:rsidRDefault="000833EE" w:rsidP="00FF146C">
            <w:pPr>
              <w:spacing w:after="0"/>
              <w:rPr>
                <w:rFonts w:ascii="Arial" w:hAnsi="Arial" w:cs="Arial"/>
                <w:color w:val="009966"/>
                <w:sz w:val="20"/>
              </w:rPr>
            </w:pPr>
          </w:p>
          <w:p w:rsidR="00304CBD" w:rsidRPr="00512021" w:rsidRDefault="00304CBD" w:rsidP="00FF146C">
            <w:pPr>
              <w:spacing w:after="0"/>
              <w:rPr>
                <w:rFonts w:ascii="Arial" w:hAnsi="Arial" w:cs="Arial"/>
                <w:sz w:val="20"/>
              </w:rPr>
            </w:pPr>
          </w:p>
        </w:tc>
      </w:tr>
      <w:tr w:rsidR="00304CBD" w:rsidRPr="00B5552C" w:rsidTr="00FF146C">
        <w:tc>
          <w:tcPr>
            <w:tcW w:w="8414" w:type="dxa"/>
            <w:shd w:val="clear" w:color="auto" w:fill="595959"/>
          </w:tcPr>
          <w:p w:rsidR="00304CBD" w:rsidRPr="00B5552C" w:rsidRDefault="00304CBD" w:rsidP="00FF146C">
            <w:pPr>
              <w:spacing w:after="0" w:line="276" w:lineRule="auto"/>
              <w:rPr>
                <w:rFonts w:ascii="Arial" w:hAnsi="Arial" w:cs="Arial"/>
                <w:b/>
                <w:color w:val="F79646"/>
              </w:rPr>
            </w:pPr>
            <w:r w:rsidRPr="00B5552C">
              <w:rPr>
                <w:rFonts w:ascii="Arial" w:hAnsi="Arial" w:cs="Arial"/>
                <w:b/>
                <w:color w:val="F79646"/>
              </w:rPr>
              <w:lastRenderedPageBreak/>
              <w:t>4.</w:t>
            </w:r>
            <w:r w:rsidRPr="00B5552C">
              <w:rPr>
                <w:rFonts w:ascii="Arial" w:hAnsi="Arial" w:cs="Arial"/>
                <w:b/>
                <w:color w:val="F79646"/>
              </w:rPr>
              <w:tab/>
              <w:t>Applicable Service Standards</w:t>
            </w:r>
          </w:p>
        </w:tc>
      </w:tr>
      <w:tr w:rsidR="00304CBD" w:rsidRPr="00512021" w:rsidTr="00FF146C">
        <w:tc>
          <w:tcPr>
            <w:tcW w:w="8414" w:type="dxa"/>
            <w:shd w:val="clear" w:color="auto" w:fill="auto"/>
          </w:tcPr>
          <w:p w:rsidR="00304CBD" w:rsidRPr="00512021" w:rsidRDefault="00304CBD" w:rsidP="00FF146C">
            <w:pPr>
              <w:spacing w:after="0"/>
              <w:rPr>
                <w:rFonts w:ascii="Arial" w:hAnsi="Arial" w:cs="Arial"/>
                <w:sz w:val="20"/>
              </w:rPr>
            </w:pPr>
          </w:p>
          <w:p w:rsidR="00304CBD" w:rsidRDefault="00304CBD" w:rsidP="00FF146C">
            <w:pPr>
              <w:spacing w:after="0"/>
              <w:rPr>
                <w:rFonts w:ascii="Arial" w:hAnsi="Arial" w:cs="Arial"/>
                <w:b/>
                <w:color w:val="009966"/>
                <w:sz w:val="20"/>
              </w:rPr>
            </w:pPr>
            <w:r>
              <w:rPr>
                <w:rFonts w:ascii="Arial" w:hAnsi="Arial" w:cs="Arial"/>
                <w:b/>
                <w:color w:val="009966"/>
                <w:sz w:val="20"/>
              </w:rPr>
              <w:t>4</w:t>
            </w:r>
            <w:r w:rsidRPr="00F47C01">
              <w:rPr>
                <w:rFonts w:ascii="Arial" w:hAnsi="Arial" w:cs="Arial"/>
                <w:b/>
                <w:color w:val="009966"/>
                <w:sz w:val="20"/>
              </w:rPr>
              <w:t>.1</w:t>
            </w:r>
            <w:r w:rsidRPr="00F47C01">
              <w:rPr>
                <w:rFonts w:ascii="Arial" w:hAnsi="Arial" w:cs="Arial"/>
                <w:b/>
                <w:color w:val="009966"/>
                <w:sz w:val="20"/>
              </w:rPr>
              <w:tab/>
              <w:t xml:space="preserve">Applicable national standards </w:t>
            </w:r>
            <w:r>
              <w:rPr>
                <w:rFonts w:ascii="Arial" w:hAnsi="Arial" w:cs="Arial"/>
                <w:b/>
                <w:color w:val="009966"/>
                <w:sz w:val="20"/>
              </w:rPr>
              <w:t>(</w:t>
            </w:r>
            <w:r w:rsidRPr="00F47C01">
              <w:rPr>
                <w:rFonts w:ascii="Arial" w:hAnsi="Arial" w:cs="Arial"/>
                <w:b/>
                <w:color w:val="009966"/>
                <w:sz w:val="20"/>
              </w:rPr>
              <w:t>eg NICE</w:t>
            </w:r>
            <w:r>
              <w:rPr>
                <w:rFonts w:ascii="Arial" w:hAnsi="Arial" w:cs="Arial"/>
                <w:b/>
                <w:color w:val="009966"/>
                <w:sz w:val="20"/>
              </w:rPr>
              <w:t>)</w:t>
            </w:r>
          </w:p>
          <w:p w:rsidR="00304CBD" w:rsidRDefault="00304CBD" w:rsidP="00FF146C">
            <w:pPr>
              <w:spacing w:after="0"/>
              <w:rPr>
                <w:rFonts w:ascii="Arial" w:hAnsi="Arial" w:cs="Arial"/>
                <w:color w:val="009966"/>
                <w:sz w:val="20"/>
              </w:rPr>
            </w:pPr>
          </w:p>
          <w:p w:rsidR="004A38E7" w:rsidRDefault="004A38E7" w:rsidP="004A38E7">
            <w:pPr>
              <w:ind w:left="709"/>
              <w:rPr>
                <w:rFonts w:ascii="Calibri" w:hAnsi="Calibri" w:cs="Calibri"/>
                <w:szCs w:val="22"/>
              </w:rPr>
            </w:pPr>
            <w:r w:rsidRPr="00B47D6A">
              <w:rPr>
                <w:rFonts w:ascii="Calibri" w:hAnsi="Calibri" w:cs="Calibri"/>
                <w:sz w:val="22"/>
                <w:szCs w:val="22"/>
              </w:rPr>
              <w:t xml:space="preserve">NICE clinical guideline </w:t>
            </w:r>
            <w:r w:rsidR="00A81FD3">
              <w:rPr>
                <w:rFonts w:ascii="Calibri" w:hAnsi="Calibri" w:cs="Calibri"/>
                <w:sz w:val="22"/>
                <w:szCs w:val="22"/>
              </w:rPr>
              <w:t xml:space="preserve">175 </w:t>
            </w:r>
            <w:r w:rsidRPr="00B47D6A">
              <w:rPr>
                <w:rFonts w:ascii="Calibri" w:hAnsi="Calibri" w:cs="Calibri"/>
                <w:sz w:val="22"/>
                <w:szCs w:val="22"/>
              </w:rPr>
              <w:t xml:space="preserve">Prostate cancer: diagnosis and treatment, </w:t>
            </w:r>
            <w:r w:rsidR="00A81FD3">
              <w:rPr>
                <w:rFonts w:ascii="Calibri" w:hAnsi="Calibri" w:cs="Calibri"/>
                <w:sz w:val="22"/>
                <w:szCs w:val="22"/>
              </w:rPr>
              <w:t>January 2014 (</w:t>
            </w:r>
            <w:hyperlink r:id="rId9" w:history="1">
              <w:r w:rsidR="00EB5077" w:rsidRPr="00EB3FE8">
                <w:rPr>
                  <w:rStyle w:val="Hyperlink"/>
                  <w:rFonts w:ascii="Calibri" w:hAnsi="Calibri" w:cs="Calibri"/>
                  <w:sz w:val="22"/>
                  <w:szCs w:val="22"/>
                </w:rPr>
                <w:t>http://www.nice.org.uk/nicemedia/live/14348/66226/66226.pdf</w:t>
              </w:r>
            </w:hyperlink>
            <w:r w:rsidR="00A81FD3">
              <w:rPr>
                <w:rFonts w:ascii="Calibri" w:hAnsi="Calibri" w:cs="Calibri"/>
                <w:sz w:val="22"/>
                <w:szCs w:val="22"/>
              </w:rPr>
              <w:t>)</w:t>
            </w:r>
            <w:r w:rsidRPr="00B47D6A">
              <w:rPr>
                <w:rFonts w:ascii="Calibri" w:hAnsi="Calibri" w:cs="Calibri"/>
                <w:sz w:val="22"/>
                <w:szCs w:val="22"/>
              </w:rPr>
              <w:t>.</w:t>
            </w:r>
            <w:r>
              <w:rPr>
                <w:rFonts w:ascii="Calibri" w:hAnsi="Calibri" w:cs="Calibri"/>
                <w:sz w:val="22"/>
                <w:szCs w:val="22"/>
              </w:rPr>
              <w:t xml:space="preserve"> </w:t>
            </w:r>
          </w:p>
          <w:p w:rsidR="00EB5077" w:rsidRDefault="00EB5077" w:rsidP="004A38E7">
            <w:pPr>
              <w:ind w:left="743"/>
              <w:rPr>
                <w:rFonts w:ascii="Calibri" w:hAnsi="Calibri" w:cs="Calibri"/>
                <w:b/>
                <w:szCs w:val="22"/>
              </w:rPr>
            </w:pPr>
          </w:p>
          <w:p w:rsidR="004A38E7" w:rsidRPr="00B47D6A" w:rsidRDefault="004A38E7" w:rsidP="004A38E7">
            <w:pPr>
              <w:ind w:left="743"/>
              <w:rPr>
                <w:rFonts w:ascii="Calibri" w:hAnsi="Calibri" w:cs="Calibri"/>
                <w:b/>
                <w:szCs w:val="22"/>
              </w:rPr>
            </w:pPr>
            <w:r w:rsidRPr="00B47D6A">
              <w:rPr>
                <w:rFonts w:ascii="Calibri" w:hAnsi="Calibri" w:cs="Calibri"/>
                <w:b/>
                <w:sz w:val="22"/>
                <w:szCs w:val="22"/>
              </w:rPr>
              <w:t xml:space="preserve">Watchful </w:t>
            </w:r>
            <w:r>
              <w:rPr>
                <w:rFonts w:ascii="Calibri" w:hAnsi="Calibri" w:cs="Calibri"/>
                <w:b/>
                <w:sz w:val="22"/>
                <w:szCs w:val="22"/>
              </w:rPr>
              <w:t>W</w:t>
            </w:r>
            <w:r w:rsidRPr="00B47D6A">
              <w:rPr>
                <w:rFonts w:ascii="Calibri" w:hAnsi="Calibri" w:cs="Calibri"/>
                <w:b/>
                <w:sz w:val="22"/>
                <w:szCs w:val="22"/>
              </w:rPr>
              <w:t>aiting -Adapted from NICE Guidance 20</w:t>
            </w:r>
            <w:r w:rsidR="005D2ACC">
              <w:rPr>
                <w:rFonts w:ascii="Calibri" w:hAnsi="Calibri" w:cs="Calibri"/>
                <w:b/>
                <w:sz w:val="22"/>
                <w:szCs w:val="22"/>
              </w:rPr>
              <w:t>14</w:t>
            </w:r>
          </w:p>
          <w:p w:rsidR="004A38E7" w:rsidRPr="00B47D6A" w:rsidRDefault="004A38E7" w:rsidP="004A38E7">
            <w:pPr>
              <w:ind w:left="743"/>
              <w:rPr>
                <w:rFonts w:ascii="Calibri" w:hAnsi="Calibri" w:cs="Calibri"/>
                <w:szCs w:val="22"/>
              </w:rPr>
            </w:pPr>
            <w:r w:rsidRPr="00B47D6A">
              <w:rPr>
                <w:rFonts w:ascii="Calibri" w:hAnsi="Calibri" w:cs="Calibri"/>
                <w:sz w:val="22"/>
                <w:szCs w:val="22"/>
              </w:rPr>
              <w:t xml:space="preserve">Watchful waiting involves the conscious decision to avoid treatment unless symptoms of progressive disease develop. </w:t>
            </w:r>
            <w:r>
              <w:rPr>
                <w:rFonts w:ascii="Calibri" w:hAnsi="Calibri" w:cs="Calibri"/>
                <w:sz w:val="22"/>
                <w:szCs w:val="22"/>
              </w:rPr>
              <w:t xml:space="preserve"> </w:t>
            </w:r>
            <w:r w:rsidRPr="00B47D6A">
              <w:rPr>
                <w:rFonts w:ascii="Calibri" w:hAnsi="Calibri" w:cs="Calibri"/>
                <w:sz w:val="22"/>
                <w:szCs w:val="22"/>
              </w:rPr>
              <w:t>Those men who do develop symptoms of progressive disease are usually managed with hormonal therapy.  This approach is most often offered to older men, or those with significant co-morbidities who are thought unlikely to have significant cancer progression during their likely natural life span.</w:t>
            </w:r>
          </w:p>
          <w:p w:rsidR="004A38E7" w:rsidRPr="00B47D6A" w:rsidRDefault="004A38E7" w:rsidP="004A38E7">
            <w:pPr>
              <w:ind w:left="743"/>
              <w:jc w:val="both"/>
              <w:rPr>
                <w:rFonts w:ascii="Calibri" w:hAnsi="Calibri" w:cs="Calibri"/>
                <w:i/>
                <w:szCs w:val="22"/>
              </w:rPr>
            </w:pPr>
            <w:r w:rsidRPr="00B47D6A">
              <w:rPr>
                <w:rFonts w:ascii="Calibri" w:hAnsi="Calibri" w:cs="Calibri"/>
                <w:i/>
                <w:sz w:val="22"/>
                <w:szCs w:val="22"/>
              </w:rPr>
              <w:t>Men with prostate cancer who have been identified by a urologist suitable for watchful waiting regimen with no curative intent should normally be followed up in Primary Care in accordance with protocols agreed by the local urological cancer MDT and the relevant Primary Care organisation(s).  Their PSA should be measured at least once a year. ( NICE 20</w:t>
            </w:r>
            <w:r w:rsidR="005D2ACC">
              <w:rPr>
                <w:rFonts w:ascii="Calibri" w:hAnsi="Calibri" w:cs="Calibri"/>
                <w:i/>
                <w:sz w:val="22"/>
                <w:szCs w:val="22"/>
              </w:rPr>
              <w:t>14</w:t>
            </w:r>
            <w:r w:rsidRPr="00B47D6A">
              <w:rPr>
                <w:rFonts w:ascii="Calibri" w:hAnsi="Calibri" w:cs="Calibri"/>
                <w:i/>
                <w:sz w:val="22"/>
                <w:szCs w:val="22"/>
              </w:rPr>
              <w:t>)</w:t>
            </w:r>
          </w:p>
          <w:p w:rsidR="004A38E7" w:rsidRPr="00B47D6A" w:rsidRDefault="004A38E7" w:rsidP="004A38E7">
            <w:pPr>
              <w:pStyle w:val="FootnoteText"/>
              <w:ind w:left="743"/>
              <w:rPr>
                <w:rFonts w:ascii="Calibri" w:hAnsi="Calibri"/>
                <w:sz w:val="22"/>
                <w:szCs w:val="22"/>
                <w:lang w:val="en-GB"/>
              </w:rPr>
            </w:pPr>
          </w:p>
          <w:p w:rsidR="004A38E7" w:rsidRPr="00B47D6A" w:rsidRDefault="004A38E7" w:rsidP="004A38E7">
            <w:pPr>
              <w:ind w:left="743"/>
              <w:rPr>
                <w:rFonts w:ascii="Calibri" w:hAnsi="Calibri" w:cs="Calibri"/>
                <w:b/>
                <w:szCs w:val="22"/>
              </w:rPr>
            </w:pPr>
            <w:r w:rsidRPr="00B47D6A">
              <w:rPr>
                <w:rStyle w:val="FootnoteReference"/>
                <w:rFonts w:ascii="Calibri" w:hAnsi="Calibri"/>
                <w:sz w:val="22"/>
                <w:szCs w:val="22"/>
              </w:rPr>
              <w:footnoteRef/>
            </w:r>
            <w:r w:rsidRPr="00B47D6A">
              <w:rPr>
                <w:rFonts w:ascii="Calibri" w:hAnsi="Calibri"/>
                <w:sz w:val="22"/>
                <w:szCs w:val="22"/>
              </w:rPr>
              <w:t xml:space="preserve"> </w:t>
            </w:r>
            <w:r w:rsidRPr="00B47D6A">
              <w:rPr>
                <w:rFonts w:ascii="Calibri" w:hAnsi="Calibri" w:cs="Calibri"/>
                <w:b/>
                <w:sz w:val="22"/>
                <w:szCs w:val="22"/>
              </w:rPr>
              <w:t>Active Monitoring /Surveillance - Adapted from NICE Guidance 20</w:t>
            </w:r>
            <w:r w:rsidR="005D2ACC">
              <w:rPr>
                <w:rFonts w:ascii="Calibri" w:hAnsi="Calibri" w:cs="Calibri"/>
                <w:b/>
                <w:sz w:val="22"/>
                <w:szCs w:val="22"/>
              </w:rPr>
              <w:t>14</w:t>
            </w:r>
          </w:p>
          <w:p w:rsidR="004A38E7" w:rsidRPr="00B47D6A" w:rsidRDefault="004A38E7" w:rsidP="004A38E7">
            <w:pPr>
              <w:ind w:left="743"/>
              <w:rPr>
                <w:rFonts w:ascii="Calibri" w:hAnsi="Calibri" w:cs="Calibri"/>
                <w:b/>
                <w:szCs w:val="22"/>
              </w:rPr>
            </w:pPr>
            <w:r w:rsidRPr="00B47D6A">
              <w:rPr>
                <w:rFonts w:ascii="Calibri" w:hAnsi="Calibri" w:cs="Calibri"/>
                <w:b/>
                <w:sz w:val="22"/>
                <w:szCs w:val="22"/>
              </w:rPr>
              <w:t>Discharge at the discretion of the local urological cancer MDT</w:t>
            </w:r>
          </w:p>
          <w:p w:rsidR="004A38E7" w:rsidRDefault="004A38E7" w:rsidP="004A38E7">
            <w:pPr>
              <w:ind w:left="743"/>
              <w:rPr>
                <w:rFonts w:ascii="Calibri" w:eastAsia="Arial Unicode MS" w:hAnsi="Calibri" w:cs="Calibri"/>
                <w:i/>
                <w:szCs w:val="22"/>
              </w:rPr>
            </w:pPr>
            <w:r w:rsidRPr="00B47D6A">
              <w:rPr>
                <w:rFonts w:ascii="Calibri" w:hAnsi="Calibri" w:cs="Calibri"/>
                <w:sz w:val="22"/>
                <w:szCs w:val="22"/>
              </w:rPr>
              <w:t>The objective of active surveillance is to avoid unnecessary treatment of men with indolent cancers, by only treating those whose cancers show early signs of progression. Whereas traditional watchful waiting in elderly or infirm men aims to avoid any treatment at all for as long as possible and excludes radical treatment options, active surveillance of younger, fitter men tries to target curative treatment on those likely to benefit. Active surveillance enables the risk category to be re-assessed at regular intervals by serial PSA estimations, and trans-rectal ultrasound (TRUS) guided prostate biopsy. Active surveillance is an option for men with low-risk disease who are fit for radical treatment in the event of disease progression</w:t>
            </w:r>
            <w:r w:rsidRPr="00B47D6A">
              <w:rPr>
                <w:rFonts w:ascii="Calibri" w:eastAsia="Arial Unicode MS" w:hAnsi="Calibri" w:cs="Calibri"/>
                <w:i/>
                <w:sz w:val="22"/>
                <w:szCs w:val="22"/>
              </w:rPr>
              <w:t>.</w:t>
            </w:r>
          </w:p>
          <w:p w:rsidR="005D2ACC" w:rsidRDefault="005D2ACC" w:rsidP="005D2ACC">
            <w:pPr>
              <w:autoSpaceDE w:val="0"/>
              <w:autoSpaceDN w:val="0"/>
              <w:adjustRightInd w:val="0"/>
              <w:spacing w:after="0"/>
              <w:ind w:left="743"/>
              <w:rPr>
                <w:rFonts w:eastAsiaTheme="minorHAnsi" w:cstheme="minorHAnsi"/>
                <w:color w:val="000000"/>
                <w:sz w:val="23"/>
                <w:szCs w:val="23"/>
                <w:lang w:val="en-GB" w:eastAsia="en-US"/>
              </w:rPr>
            </w:pPr>
            <w:r w:rsidRPr="005D2ACC">
              <w:rPr>
                <w:rFonts w:eastAsiaTheme="minorHAnsi" w:cstheme="minorHAnsi"/>
                <w:color w:val="000000"/>
                <w:sz w:val="23"/>
                <w:szCs w:val="23"/>
                <w:lang w:val="en-GB" w:eastAsia="en-US"/>
              </w:rPr>
              <w:t xml:space="preserve">Consider active surveillance (in line with </w:t>
            </w:r>
            <w:r>
              <w:rPr>
                <w:rFonts w:eastAsiaTheme="minorHAnsi" w:cstheme="minorHAnsi"/>
                <w:color w:val="000000"/>
                <w:sz w:val="23"/>
                <w:szCs w:val="23"/>
                <w:lang w:val="en-GB" w:eastAsia="en-US"/>
              </w:rPr>
              <w:t>table 2 in CG 175 –protocol for active surveillance</w:t>
            </w:r>
            <w:r w:rsidRPr="005D2ACC">
              <w:rPr>
                <w:rFonts w:eastAsiaTheme="minorHAnsi" w:cstheme="minorHAnsi"/>
                <w:color w:val="000000"/>
                <w:sz w:val="23"/>
                <w:szCs w:val="23"/>
                <w:lang w:val="en-GB" w:eastAsia="en-US"/>
              </w:rPr>
              <w:t xml:space="preserve">) for men with intermediate-risk localised prostate cancer who do not wish to have immediate radical prostatectomy or radical radiotherapy. </w:t>
            </w:r>
          </w:p>
          <w:p w:rsidR="005D2ACC" w:rsidRPr="005D2ACC" w:rsidRDefault="005D2ACC" w:rsidP="005D2ACC">
            <w:pPr>
              <w:autoSpaceDE w:val="0"/>
              <w:autoSpaceDN w:val="0"/>
              <w:adjustRightInd w:val="0"/>
              <w:spacing w:after="0"/>
              <w:ind w:left="743"/>
              <w:rPr>
                <w:rFonts w:eastAsiaTheme="minorHAnsi" w:cstheme="minorHAnsi"/>
                <w:color w:val="000000"/>
                <w:sz w:val="23"/>
                <w:szCs w:val="23"/>
                <w:lang w:val="en-GB" w:eastAsia="en-US"/>
              </w:rPr>
            </w:pPr>
          </w:p>
          <w:p w:rsidR="00304CBD" w:rsidRDefault="00304CBD" w:rsidP="00FF146C">
            <w:pPr>
              <w:spacing w:after="0"/>
              <w:rPr>
                <w:rFonts w:ascii="Arial" w:hAnsi="Arial" w:cs="Arial"/>
                <w:color w:val="009966"/>
                <w:sz w:val="20"/>
              </w:rPr>
            </w:pPr>
          </w:p>
          <w:p w:rsidR="00304CBD" w:rsidRPr="00D47FCE" w:rsidRDefault="00304CBD" w:rsidP="00FF146C">
            <w:pPr>
              <w:spacing w:after="0"/>
              <w:ind w:left="743" w:hanging="743"/>
              <w:rPr>
                <w:rFonts w:ascii="Arial" w:hAnsi="Arial" w:cs="Arial"/>
                <w:b/>
                <w:color w:val="009966"/>
                <w:sz w:val="20"/>
              </w:rPr>
            </w:pPr>
            <w:r w:rsidRPr="00D47FCE">
              <w:rPr>
                <w:rFonts w:ascii="Arial" w:hAnsi="Arial" w:cs="Arial"/>
                <w:b/>
                <w:color w:val="009966"/>
                <w:sz w:val="20"/>
              </w:rPr>
              <w:t>4.2</w:t>
            </w:r>
            <w:r w:rsidRPr="00D47FCE">
              <w:rPr>
                <w:rFonts w:ascii="Arial" w:hAnsi="Arial" w:cs="Arial"/>
                <w:b/>
                <w:color w:val="009966"/>
                <w:sz w:val="20"/>
              </w:rPr>
              <w:tab/>
              <w:t xml:space="preserve">Applicable standards </w:t>
            </w:r>
            <w:r>
              <w:rPr>
                <w:rFonts w:ascii="Arial" w:hAnsi="Arial" w:cs="Arial"/>
                <w:b/>
                <w:color w:val="009966"/>
                <w:sz w:val="20"/>
              </w:rPr>
              <w:t>set out in Guidance and/or issued by</w:t>
            </w:r>
            <w:r w:rsidRPr="00D47FCE">
              <w:rPr>
                <w:rFonts w:ascii="Arial" w:hAnsi="Arial" w:cs="Arial"/>
                <w:b/>
                <w:color w:val="009966"/>
                <w:sz w:val="20"/>
              </w:rPr>
              <w:t xml:space="preserve"> a competent body (eg Royal Colleges) </w:t>
            </w:r>
          </w:p>
          <w:p w:rsidR="00304CBD" w:rsidRDefault="00304CBD" w:rsidP="00FF146C">
            <w:pPr>
              <w:spacing w:after="0"/>
              <w:ind w:left="743" w:hanging="743"/>
              <w:rPr>
                <w:rFonts w:ascii="Arial" w:hAnsi="Arial" w:cs="Arial"/>
                <w:color w:val="009966"/>
                <w:sz w:val="20"/>
              </w:rPr>
            </w:pPr>
          </w:p>
          <w:p w:rsidR="004A38E7" w:rsidRPr="00B47D6A" w:rsidRDefault="004A38E7" w:rsidP="004A38E7">
            <w:pPr>
              <w:pStyle w:val="Default"/>
              <w:numPr>
                <w:ilvl w:val="0"/>
                <w:numId w:val="23"/>
              </w:numPr>
              <w:rPr>
                <w:rFonts w:ascii="Calibri" w:hAnsi="Calibri" w:cs="Calibri"/>
                <w:color w:val="auto"/>
                <w:sz w:val="22"/>
                <w:szCs w:val="22"/>
              </w:rPr>
            </w:pPr>
            <w:r w:rsidRPr="00B47D6A">
              <w:rPr>
                <w:rFonts w:ascii="Calibri" w:hAnsi="Calibri" w:cs="Calibri"/>
                <w:color w:val="auto"/>
                <w:sz w:val="22"/>
                <w:szCs w:val="22"/>
              </w:rPr>
              <w:t>European Association of Urology Guidelines Prostate Cancer, 2006.</w:t>
            </w:r>
          </w:p>
          <w:p w:rsidR="004A38E7" w:rsidRDefault="004A38E7" w:rsidP="00FF146C">
            <w:pPr>
              <w:spacing w:after="0"/>
              <w:ind w:left="743" w:hanging="743"/>
              <w:rPr>
                <w:rFonts w:ascii="Arial" w:hAnsi="Arial" w:cs="Arial"/>
                <w:color w:val="009966"/>
                <w:sz w:val="20"/>
              </w:rPr>
            </w:pPr>
          </w:p>
          <w:p w:rsidR="004A38E7" w:rsidRPr="00390A2D" w:rsidRDefault="004A38E7" w:rsidP="00FF146C">
            <w:pPr>
              <w:spacing w:after="0"/>
              <w:ind w:left="743" w:hanging="743"/>
              <w:rPr>
                <w:rFonts w:ascii="Arial" w:hAnsi="Arial" w:cs="Arial"/>
                <w:color w:val="009966"/>
                <w:sz w:val="20"/>
              </w:rPr>
            </w:pPr>
          </w:p>
          <w:p w:rsidR="00304CBD" w:rsidRPr="00F47C01" w:rsidRDefault="00304CBD" w:rsidP="00FF146C">
            <w:pPr>
              <w:spacing w:after="0"/>
              <w:rPr>
                <w:rFonts w:ascii="Arial" w:hAnsi="Arial" w:cs="Arial"/>
                <w:b/>
                <w:color w:val="009966"/>
                <w:sz w:val="20"/>
              </w:rPr>
            </w:pPr>
            <w:r>
              <w:rPr>
                <w:rFonts w:ascii="Arial" w:hAnsi="Arial" w:cs="Arial"/>
                <w:b/>
                <w:color w:val="009966"/>
                <w:sz w:val="20"/>
              </w:rPr>
              <w:t>4.3</w:t>
            </w:r>
            <w:r>
              <w:rPr>
                <w:rFonts w:ascii="Arial" w:hAnsi="Arial" w:cs="Arial"/>
                <w:b/>
                <w:color w:val="009966"/>
                <w:sz w:val="20"/>
              </w:rPr>
              <w:tab/>
              <w:t xml:space="preserve">Applicable local </w:t>
            </w:r>
            <w:r w:rsidRPr="00F47C01">
              <w:rPr>
                <w:rFonts w:ascii="Arial" w:hAnsi="Arial" w:cs="Arial"/>
                <w:b/>
                <w:color w:val="009966"/>
                <w:sz w:val="20"/>
              </w:rPr>
              <w:t>standards</w:t>
            </w:r>
          </w:p>
          <w:p w:rsidR="00304CBD" w:rsidRPr="00390A2D" w:rsidRDefault="00304CBD" w:rsidP="00FF146C">
            <w:pPr>
              <w:spacing w:after="0"/>
              <w:rPr>
                <w:rFonts w:ascii="Arial" w:hAnsi="Arial" w:cs="Arial"/>
                <w:color w:val="009966"/>
                <w:sz w:val="20"/>
              </w:rPr>
            </w:pPr>
          </w:p>
          <w:p w:rsidR="004A38E7" w:rsidRPr="00EB5077" w:rsidRDefault="004A38E7" w:rsidP="004A38E7">
            <w:pPr>
              <w:numPr>
                <w:ilvl w:val="0"/>
                <w:numId w:val="23"/>
              </w:numPr>
              <w:autoSpaceDE w:val="0"/>
              <w:autoSpaceDN w:val="0"/>
              <w:adjustRightInd w:val="0"/>
              <w:spacing w:after="0"/>
              <w:rPr>
                <w:rFonts w:ascii="Calibri" w:hAnsi="Calibri" w:cs="Calibri"/>
                <w:szCs w:val="22"/>
                <w:lang w:eastAsia="en-GB"/>
              </w:rPr>
            </w:pPr>
            <w:r w:rsidRPr="00B47D6A">
              <w:rPr>
                <w:rFonts w:ascii="Calibri" w:hAnsi="Calibri" w:cs="Calibri"/>
                <w:sz w:val="22"/>
                <w:szCs w:val="22"/>
                <w:lang w:eastAsia="en-GB"/>
              </w:rPr>
              <w:t>Pan Birmingham Cancer Network Guidelines for the Management of Prostate Cancer, version 2, 2009.</w:t>
            </w:r>
          </w:p>
          <w:p w:rsidR="00EB5077" w:rsidRPr="00B47D6A" w:rsidRDefault="00EB5077" w:rsidP="004A38E7">
            <w:pPr>
              <w:numPr>
                <w:ilvl w:val="0"/>
                <w:numId w:val="23"/>
              </w:numPr>
              <w:autoSpaceDE w:val="0"/>
              <w:autoSpaceDN w:val="0"/>
              <w:adjustRightInd w:val="0"/>
              <w:spacing w:after="0"/>
              <w:rPr>
                <w:rFonts w:ascii="Calibri" w:hAnsi="Calibri" w:cs="Calibri"/>
                <w:szCs w:val="22"/>
                <w:lang w:eastAsia="en-GB"/>
              </w:rPr>
            </w:pPr>
            <w:r>
              <w:rPr>
                <w:rFonts w:ascii="Calibri" w:hAnsi="Calibri" w:cs="Calibri"/>
                <w:sz w:val="22"/>
                <w:szCs w:val="22"/>
                <w:lang w:eastAsia="en-GB"/>
              </w:rPr>
              <w:t xml:space="preserve">Refer to the service details of the Local Improvement Scheme in Birmingham Cross City CCG, </w:t>
            </w:r>
            <w:r w:rsidR="002E40FB">
              <w:rPr>
                <w:rFonts w:ascii="Calibri" w:hAnsi="Calibri" w:cs="Calibri"/>
                <w:sz w:val="22"/>
                <w:szCs w:val="22"/>
                <w:lang w:eastAsia="en-GB"/>
              </w:rPr>
              <w:t xml:space="preserve">Birmingham South Central CCG, </w:t>
            </w:r>
            <w:r>
              <w:rPr>
                <w:rFonts w:ascii="Calibri" w:hAnsi="Calibri" w:cs="Calibri"/>
                <w:sz w:val="22"/>
                <w:szCs w:val="22"/>
                <w:lang w:eastAsia="en-GB"/>
              </w:rPr>
              <w:t xml:space="preserve">Solihull CCG, or South East Staffordshire and </w:t>
            </w:r>
            <w:r w:rsidR="002E40FB">
              <w:rPr>
                <w:rFonts w:ascii="Calibri" w:hAnsi="Calibri" w:cs="Calibri"/>
                <w:sz w:val="22"/>
                <w:szCs w:val="22"/>
                <w:lang w:eastAsia="en-GB"/>
              </w:rPr>
              <w:t xml:space="preserve">Seisdon </w:t>
            </w:r>
            <w:r>
              <w:rPr>
                <w:rFonts w:ascii="Calibri" w:hAnsi="Calibri" w:cs="Calibri"/>
                <w:sz w:val="22"/>
                <w:szCs w:val="22"/>
                <w:lang w:eastAsia="en-GB"/>
              </w:rPr>
              <w:t>Peninsula CCG for the Management of Stable Prostate Cancer in Primary Care which cross reference to this service specification.</w:t>
            </w:r>
          </w:p>
          <w:p w:rsidR="00304CBD" w:rsidRPr="00BE4DF3" w:rsidRDefault="00304CBD" w:rsidP="00FF146C">
            <w:pPr>
              <w:spacing w:after="0"/>
              <w:rPr>
                <w:rFonts w:ascii="Arial" w:hAnsi="Arial" w:cs="Arial"/>
                <w:color w:val="00B050"/>
                <w:sz w:val="20"/>
              </w:rPr>
            </w:pPr>
          </w:p>
          <w:p w:rsidR="00304CBD" w:rsidRPr="00512021" w:rsidRDefault="00304CBD" w:rsidP="00FF146C">
            <w:pPr>
              <w:spacing w:after="0"/>
              <w:rPr>
                <w:rFonts w:ascii="Arial" w:hAnsi="Arial" w:cs="Arial"/>
                <w:sz w:val="20"/>
              </w:rPr>
            </w:pPr>
          </w:p>
        </w:tc>
      </w:tr>
      <w:tr w:rsidR="00304CBD" w:rsidRPr="00B5552C" w:rsidTr="00FF146C">
        <w:tc>
          <w:tcPr>
            <w:tcW w:w="8414" w:type="dxa"/>
            <w:shd w:val="clear" w:color="auto" w:fill="595959"/>
          </w:tcPr>
          <w:p w:rsidR="00304CBD" w:rsidRPr="00B5552C" w:rsidRDefault="00304CBD" w:rsidP="00FF146C">
            <w:pPr>
              <w:spacing w:after="0" w:line="276" w:lineRule="auto"/>
              <w:rPr>
                <w:rFonts w:ascii="Arial" w:hAnsi="Arial" w:cs="Arial"/>
                <w:b/>
                <w:color w:val="F79646"/>
              </w:rPr>
            </w:pPr>
            <w:r w:rsidRPr="00B5552C">
              <w:rPr>
                <w:rFonts w:ascii="Arial" w:hAnsi="Arial" w:cs="Arial"/>
                <w:b/>
                <w:color w:val="F79646"/>
              </w:rPr>
              <w:lastRenderedPageBreak/>
              <w:t>5.</w:t>
            </w:r>
            <w:r w:rsidRPr="00B5552C">
              <w:rPr>
                <w:rFonts w:ascii="Arial" w:hAnsi="Arial" w:cs="Arial"/>
                <w:b/>
                <w:color w:val="F79646"/>
              </w:rPr>
              <w:tab/>
            </w:r>
            <w:r>
              <w:rPr>
                <w:rFonts w:ascii="Arial" w:hAnsi="Arial" w:cs="Arial"/>
                <w:b/>
                <w:color w:val="F79646"/>
              </w:rPr>
              <w:t>Applicable</w:t>
            </w:r>
            <w:r w:rsidRPr="00B5552C">
              <w:rPr>
                <w:rFonts w:ascii="Arial" w:hAnsi="Arial" w:cs="Arial"/>
                <w:b/>
                <w:color w:val="F79646"/>
              </w:rPr>
              <w:t xml:space="preserve"> quality requirements and CQUIN goals</w:t>
            </w:r>
          </w:p>
        </w:tc>
      </w:tr>
      <w:tr w:rsidR="00304CBD" w:rsidRPr="00512021" w:rsidTr="00FF146C">
        <w:tc>
          <w:tcPr>
            <w:tcW w:w="8414" w:type="dxa"/>
            <w:shd w:val="clear" w:color="auto" w:fill="auto"/>
          </w:tcPr>
          <w:p w:rsidR="00304CBD" w:rsidRPr="00390A2D" w:rsidRDefault="00304CBD" w:rsidP="00FF146C">
            <w:pPr>
              <w:spacing w:after="0"/>
              <w:rPr>
                <w:rFonts w:ascii="Arial" w:hAnsi="Arial" w:cs="Arial"/>
                <w:color w:val="009966"/>
                <w:sz w:val="20"/>
              </w:rPr>
            </w:pPr>
          </w:p>
          <w:p w:rsidR="00304CBD" w:rsidRDefault="00304CBD" w:rsidP="00304CBD">
            <w:pPr>
              <w:pStyle w:val="ListParagraph"/>
              <w:numPr>
                <w:ilvl w:val="1"/>
                <w:numId w:val="3"/>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w:t>
            </w:r>
            <w:r>
              <w:rPr>
                <w:rFonts w:ascii="Arial" w:hAnsi="Arial" w:cs="Arial"/>
                <w:b/>
                <w:color w:val="00B050"/>
                <w:sz w:val="20"/>
                <w:szCs w:val="20"/>
              </w:rPr>
              <w:t>Q</w:t>
            </w:r>
            <w:r w:rsidRPr="00D47FCE">
              <w:rPr>
                <w:rFonts w:ascii="Arial" w:hAnsi="Arial" w:cs="Arial"/>
                <w:b/>
                <w:color w:val="00B050"/>
                <w:sz w:val="20"/>
                <w:szCs w:val="20"/>
              </w:rPr>
              <w:t xml:space="preserve">uality </w:t>
            </w:r>
            <w:r>
              <w:rPr>
                <w:rFonts w:ascii="Arial" w:hAnsi="Arial" w:cs="Arial"/>
                <w:b/>
                <w:color w:val="00B050"/>
                <w:sz w:val="20"/>
                <w:szCs w:val="20"/>
              </w:rPr>
              <w:t>R</w:t>
            </w:r>
            <w:r w:rsidRPr="00D47FCE">
              <w:rPr>
                <w:rFonts w:ascii="Arial" w:hAnsi="Arial" w:cs="Arial"/>
                <w:b/>
                <w:color w:val="00B050"/>
                <w:sz w:val="20"/>
                <w:szCs w:val="20"/>
              </w:rPr>
              <w:t>equirements</w:t>
            </w:r>
            <w:r>
              <w:rPr>
                <w:rFonts w:ascii="Arial" w:hAnsi="Arial" w:cs="Arial"/>
                <w:b/>
                <w:color w:val="00B050"/>
                <w:sz w:val="20"/>
                <w:szCs w:val="20"/>
              </w:rPr>
              <w:t xml:space="preserve"> (See Schedule 4 Parts [A-D])</w:t>
            </w:r>
          </w:p>
          <w:p w:rsidR="004A38E7" w:rsidRDefault="004A38E7" w:rsidP="004A38E7">
            <w:pPr>
              <w:spacing w:after="0"/>
              <w:ind w:firstLine="743"/>
              <w:rPr>
                <w:rFonts w:ascii="Calibri" w:hAnsi="Calibri" w:cs="Calibri"/>
              </w:rPr>
            </w:pPr>
          </w:p>
          <w:p w:rsidR="004A38E7" w:rsidRDefault="004A38E7" w:rsidP="004A38E7">
            <w:pPr>
              <w:spacing w:after="0"/>
              <w:ind w:firstLine="743"/>
              <w:rPr>
                <w:rFonts w:ascii="Arial" w:hAnsi="Arial" w:cs="Arial"/>
                <w:b/>
                <w:color w:val="00B050"/>
                <w:sz w:val="20"/>
              </w:rPr>
            </w:pPr>
            <w:r>
              <w:rPr>
                <w:rFonts w:ascii="Calibri" w:hAnsi="Calibri" w:cs="Calibri"/>
                <w:sz w:val="22"/>
              </w:rPr>
              <w:t>Per respective CCGs Local Improvement Scheme specification agreement</w:t>
            </w:r>
          </w:p>
          <w:p w:rsidR="00304CBD" w:rsidRPr="00D47FCE" w:rsidRDefault="00304CBD" w:rsidP="00FF146C">
            <w:pPr>
              <w:pStyle w:val="ListParagraph"/>
              <w:ind w:left="743"/>
              <w:rPr>
                <w:rFonts w:ascii="Arial" w:hAnsi="Arial" w:cs="Arial"/>
                <w:b/>
                <w:color w:val="00B050"/>
                <w:sz w:val="20"/>
                <w:szCs w:val="20"/>
              </w:rPr>
            </w:pPr>
          </w:p>
          <w:p w:rsidR="00304CBD" w:rsidRPr="00D47FCE" w:rsidRDefault="00304CBD" w:rsidP="00304CBD">
            <w:pPr>
              <w:pStyle w:val="ListParagraph"/>
              <w:numPr>
                <w:ilvl w:val="1"/>
                <w:numId w:val="3"/>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CQUIN goals</w:t>
            </w:r>
            <w:r>
              <w:rPr>
                <w:rFonts w:ascii="Arial" w:hAnsi="Arial" w:cs="Arial"/>
                <w:b/>
                <w:color w:val="00B050"/>
                <w:sz w:val="20"/>
                <w:szCs w:val="20"/>
              </w:rPr>
              <w:t xml:space="preserve"> (See Schedule 4 Part [E])</w:t>
            </w:r>
          </w:p>
          <w:p w:rsidR="00304CBD" w:rsidRDefault="00304CBD" w:rsidP="00FF146C">
            <w:pPr>
              <w:spacing w:after="0"/>
              <w:rPr>
                <w:rFonts w:ascii="Arial" w:hAnsi="Arial" w:cs="Arial"/>
                <w:color w:val="009966"/>
                <w:sz w:val="20"/>
              </w:rPr>
            </w:pPr>
          </w:p>
          <w:p w:rsidR="00304CBD" w:rsidRPr="00390A2D" w:rsidRDefault="004A38E7" w:rsidP="004A38E7">
            <w:pPr>
              <w:spacing w:after="0"/>
              <w:ind w:firstLine="743"/>
              <w:rPr>
                <w:rFonts w:ascii="Arial" w:hAnsi="Arial" w:cs="Arial"/>
                <w:color w:val="009966"/>
                <w:sz w:val="20"/>
              </w:rPr>
            </w:pPr>
            <w:r>
              <w:rPr>
                <w:rFonts w:ascii="Calibri" w:hAnsi="Calibri" w:cs="Calibri"/>
                <w:sz w:val="22"/>
              </w:rPr>
              <w:t>Not applicable</w:t>
            </w:r>
          </w:p>
          <w:p w:rsidR="00304CBD" w:rsidRPr="00512021" w:rsidRDefault="00304CBD" w:rsidP="00FF146C">
            <w:pPr>
              <w:spacing w:after="0"/>
              <w:rPr>
                <w:rFonts w:ascii="Arial" w:hAnsi="Arial" w:cs="Arial"/>
                <w:sz w:val="20"/>
              </w:rPr>
            </w:pPr>
          </w:p>
        </w:tc>
      </w:tr>
      <w:tr w:rsidR="00304CBD" w:rsidRPr="00B5552C" w:rsidTr="00FF146C">
        <w:tc>
          <w:tcPr>
            <w:tcW w:w="8414" w:type="dxa"/>
            <w:shd w:val="clear" w:color="auto" w:fill="595959"/>
          </w:tcPr>
          <w:p w:rsidR="00304CBD" w:rsidRPr="00B5552C" w:rsidRDefault="00304CBD" w:rsidP="00FF146C">
            <w:pPr>
              <w:spacing w:after="0" w:line="276" w:lineRule="auto"/>
              <w:rPr>
                <w:rFonts w:ascii="Arial" w:hAnsi="Arial" w:cs="Arial"/>
                <w:b/>
                <w:color w:val="F79646"/>
              </w:rPr>
            </w:pPr>
            <w:r w:rsidRPr="00B5552C">
              <w:rPr>
                <w:rFonts w:ascii="Arial" w:hAnsi="Arial" w:cs="Arial"/>
                <w:b/>
                <w:color w:val="F79646"/>
              </w:rPr>
              <w:t>6.</w:t>
            </w:r>
            <w:r w:rsidRPr="00B5552C">
              <w:rPr>
                <w:rFonts w:ascii="Arial" w:hAnsi="Arial" w:cs="Arial"/>
                <w:b/>
                <w:color w:val="F79646"/>
              </w:rPr>
              <w:tab/>
              <w:t>Location of Provider Premises</w:t>
            </w:r>
          </w:p>
        </w:tc>
      </w:tr>
      <w:tr w:rsidR="00304CBD" w:rsidRPr="00512021" w:rsidTr="00FF146C">
        <w:tc>
          <w:tcPr>
            <w:tcW w:w="8414" w:type="dxa"/>
            <w:shd w:val="clear" w:color="auto" w:fill="auto"/>
          </w:tcPr>
          <w:p w:rsidR="00304CBD" w:rsidRPr="00512021" w:rsidRDefault="00304CBD" w:rsidP="00FF146C">
            <w:pPr>
              <w:spacing w:after="0"/>
              <w:rPr>
                <w:rFonts w:ascii="Arial" w:hAnsi="Arial" w:cs="Arial"/>
                <w:sz w:val="20"/>
              </w:rPr>
            </w:pPr>
          </w:p>
          <w:p w:rsidR="00304CBD" w:rsidRPr="00F47C01" w:rsidRDefault="00304CBD" w:rsidP="00FF146C">
            <w:pPr>
              <w:spacing w:after="0"/>
              <w:rPr>
                <w:rFonts w:ascii="Arial" w:hAnsi="Arial" w:cs="Arial"/>
                <w:b/>
                <w:color w:val="009966"/>
                <w:sz w:val="20"/>
              </w:rPr>
            </w:pPr>
            <w:r>
              <w:rPr>
                <w:rFonts w:ascii="Arial" w:hAnsi="Arial" w:cs="Arial"/>
                <w:b/>
                <w:color w:val="009966"/>
                <w:sz w:val="20"/>
              </w:rPr>
              <w:t>The Provider’</w:t>
            </w:r>
            <w:r w:rsidRPr="00F47C01">
              <w:rPr>
                <w:rFonts w:ascii="Arial" w:hAnsi="Arial" w:cs="Arial"/>
                <w:b/>
                <w:color w:val="009966"/>
                <w:sz w:val="20"/>
              </w:rPr>
              <w:t>s Premises are located at:</w:t>
            </w:r>
          </w:p>
          <w:p w:rsidR="00304CBD" w:rsidRPr="00390A2D" w:rsidRDefault="00304CBD" w:rsidP="00FF146C">
            <w:pPr>
              <w:spacing w:after="0"/>
              <w:rPr>
                <w:rFonts w:ascii="Arial" w:hAnsi="Arial" w:cs="Arial"/>
                <w:color w:val="009966"/>
                <w:sz w:val="20"/>
              </w:rPr>
            </w:pPr>
          </w:p>
          <w:p w:rsidR="00304CBD" w:rsidRPr="004A38E7" w:rsidRDefault="00304CBD" w:rsidP="004A38E7">
            <w:pPr>
              <w:spacing w:after="0"/>
              <w:ind w:firstLine="743"/>
              <w:rPr>
                <w:rFonts w:ascii="Arial" w:hAnsi="Arial" w:cs="Arial"/>
                <w:sz w:val="20"/>
              </w:rPr>
            </w:pPr>
            <w:r>
              <w:rPr>
                <w:rFonts w:ascii="Arial" w:hAnsi="Arial" w:cs="Arial"/>
                <w:color w:val="009966"/>
                <w:sz w:val="20"/>
              </w:rPr>
              <w:t xml:space="preserve"> </w:t>
            </w:r>
            <w:r w:rsidR="004A38E7" w:rsidRPr="004A38E7">
              <w:rPr>
                <w:rFonts w:ascii="Arial" w:hAnsi="Arial" w:cs="Arial"/>
                <w:sz w:val="20"/>
              </w:rPr>
              <w:t>Per the respective CCGs website detailing member practices</w:t>
            </w:r>
          </w:p>
          <w:p w:rsidR="00304CBD" w:rsidRPr="00512021" w:rsidRDefault="00304CBD" w:rsidP="00FF146C">
            <w:pPr>
              <w:spacing w:after="0"/>
              <w:rPr>
                <w:rFonts w:ascii="Arial" w:hAnsi="Arial" w:cs="Arial"/>
                <w:sz w:val="20"/>
              </w:rPr>
            </w:pPr>
          </w:p>
        </w:tc>
      </w:tr>
      <w:tr w:rsidR="00304CBD" w:rsidRPr="00B5552C" w:rsidTr="00FF146C">
        <w:tc>
          <w:tcPr>
            <w:tcW w:w="8414" w:type="dxa"/>
            <w:shd w:val="clear" w:color="auto" w:fill="009966"/>
          </w:tcPr>
          <w:p w:rsidR="00304CBD" w:rsidRPr="00B5552C" w:rsidRDefault="00304CBD" w:rsidP="00FF146C">
            <w:pPr>
              <w:spacing w:after="0" w:line="276" w:lineRule="auto"/>
              <w:rPr>
                <w:rFonts w:ascii="Arial" w:hAnsi="Arial" w:cs="Arial"/>
                <w:b/>
                <w:color w:val="FFFFFF"/>
              </w:rPr>
            </w:pPr>
            <w:r w:rsidRPr="00B5552C">
              <w:rPr>
                <w:rFonts w:ascii="Arial" w:hAnsi="Arial" w:cs="Arial"/>
                <w:b/>
                <w:color w:val="FFFFFF"/>
              </w:rPr>
              <w:t>7.</w:t>
            </w:r>
            <w:r w:rsidRPr="00B5552C">
              <w:rPr>
                <w:rFonts w:ascii="Arial" w:hAnsi="Arial" w:cs="Arial"/>
                <w:b/>
                <w:color w:val="FFFFFF"/>
              </w:rPr>
              <w:tab/>
              <w:t>Individual Service User Placement</w:t>
            </w:r>
          </w:p>
        </w:tc>
      </w:tr>
      <w:tr w:rsidR="00304CBD" w:rsidRPr="00512021" w:rsidTr="00FF146C">
        <w:tc>
          <w:tcPr>
            <w:tcW w:w="8414" w:type="dxa"/>
            <w:shd w:val="clear" w:color="auto" w:fill="auto"/>
          </w:tcPr>
          <w:p w:rsidR="00304CBD" w:rsidRPr="00512021" w:rsidRDefault="00304CBD" w:rsidP="00FF146C">
            <w:pPr>
              <w:spacing w:after="0"/>
              <w:rPr>
                <w:rFonts w:ascii="Arial" w:hAnsi="Arial" w:cs="Arial"/>
                <w:sz w:val="20"/>
              </w:rPr>
            </w:pPr>
          </w:p>
          <w:p w:rsidR="00304CBD" w:rsidRDefault="00304CBD" w:rsidP="00FF146C">
            <w:pPr>
              <w:spacing w:after="0"/>
              <w:rPr>
                <w:rFonts w:ascii="Arial" w:hAnsi="Arial" w:cs="Arial"/>
                <w:sz w:val="20"/>
              </w:rPr>
            </w:pPr>
          </w:p>
          <w:p w:rsidR="00304CBD" w:rsidRDefault="00304CBD" w:rsidP="00FF146C">
            <w:pPr>
              <w:spacing w:after="0"/>
              <w:rPr>
                <w:rFonts w:ascii="Arial" w:hAnsi="Arial" w:cs="Arial"/>
                <w:sz w:val="20"/>
              </w:rPr>
            </w:pPr>
          </w:p>
          <w:p w:rsidR="00304CBD" w:rsidRPr="00512021" w:rsidRDefault="00304CBD" w:rsidP="00FF146C">
            <w:pPr>
              <w:spacing w:after="0"/>
              <w:rPr>
                <w:rFonts w:ascii="Arial" w:hAnsi="Arial" w:cs="Arial"/>
                <w:sz w:val="20"/>
              </w:rPr>
            </w:pPr>
          </w:p>
          <w:p w:rsidR="00304CBD" w:rsidRPr="00512021" w:rsidRDefault="00304CBD" w:rsidP="00FF146C">
            <w:pPr>
              <w:spacing w:after="0"/>
              <w:rPr>
                <w:rFonts w:ascii="Arial" w:hAnsi="Arial" w:cs="Arial"/>
                <w:sz w:val="20"/>
              </w:rPr>
            </w:pPr>
          </w:p>
        </w:tc>
      </w:tr>
    </w:tbl>
    <w:p w:rsidR="00712302" w:rsidRDefault="00712302"/>
    <w:p w:rsidR="00920F53" w:rsidRDefault="00920F53" w:rsidP="00920F53">
      <w:pPr>
        <w:rPr>
          <w:rFonts w:ascii="Arial" w:hAnsi="Arial" w:cs="Arial"/>
          <w:b/>
          <w:sz w:val="20"/>
        </w:rPr>
      </w:pPr>
      <w:r w:rsidRPr="008753CF">
        <w:rPr>
          <w:rFonts w:ascii="Arial" w:hAnsi="Arial" w:cs="Arial"/>
          <w:b/>
          <w:sz w:val="20"/>
        </w:rPr>
        <w:t>Payment Arrangements:</w:t>
      </w:r>
    </w:p>
    <w:p w:rsidR="00920F53" w:rsidRPr="00B533F1" w:rsidRDefault="00920F53" w:rsidP="00920F53">
      <w:pPr>
        <w:rPr>
          <w:rFonts w:ascii="Arial" w:hAnsi="Arial" w:cs="Arial"/>
          <w:sz w:val="20"/>
        </w:rPr>
      </w:pPr>
      <w:r w:rsidRPr="00B533F1">
        <w:rPr>
          <w:rFonts w:ascii="Arial" w:hAnsi="Arial" w:cs="Arial"/>
          <w:sz w:val="20"/>
        </w:rPr>
        <w:t>This agreement is to cover the 12 m</w:t>
      </w:r>
      <w:r>
        <w:rPr>
          <w:rFonts w:ascii="Arial" w:hAnsi="Arial" w:cs="Arial"/>
          <w:sz w:val="20"/>
        </w:rPr>
        <w:t>onths commencing 1</w:t>
      </w:r>
      <w:r w:rsidRPr="00B533F1">
        <w:rPr>
          <w:rFonts w:ascii="Arial" w:hAnsi="Arial" w:cs="Arial"/>
          <w:sz w:val="20"/>
          <w:vertAlign w:val="superscript"/>
        </w:rPr>
        <w:t>st</w:t>
      </w:r>
      <w:r>
        <w:rPr>
          <w:rFonts w:ascii="Arial" w:hAnsi="Arial" w:cs="Arial"/>
          <w:sz w:val="20"/>
        </w:rPr>
        <w:t xml:space="preserve"> April 2014.</w:t>
      </w:r>
    </w:p>
    <w:p w:rsidR="00920F53" w:rsidRDefault="00920F53" w:rsidP="00920F53">
      <w:pPr>
        <w:rPr>
          <w:rFonts w:ascii="Arial" w:hAnsi="Arial" w:cs="Arial"/>
          <w:sz w:val="20"/>
        </w:rPr>
      </w:pPr>
      <w:r>
        <w:rPr>
          <w:rFonts w:ascii="Arial" w:hAnsi="Arial" w:cs="Arial"/>
          <w:sz w:val="20"/>
        </w:rPr>
        <w:t>£9.17</w:t>
      </w:r>
      <w:r w:rsidRPr="004E23AB">
        <w:rPr>
          <w:rFonts w:ascii="Arial" w:hAnsi="Arial" w:cs="Arial"/>
          <w:sz w:val="20"/>
        </w:rPr>
        <w:t xml:space="preserve"> for each patient registered with the Provider on the 1st of the calendar month</w:t>
      </w:r>
      <w:r>
        <w:rPr>
          <w:rFonts w:ascii="Arial" w:hAnsi="Arial" w:cs="Arial"/>
          <w:sz w:val="20"/>
        </w:rPr>
        <w:t>, who meet criteria set in this specification.</w:t>
      </w:r>
    </w:p>
    <w:tbl>
      <w:tblPr>
        <w:tblStyle w:val="TableGrid1"/>
        <w:tblW w:w="9464" w:type="dxa"/>
        <w:tblLook w:val="04A0" w:firstRow="1" w:lastRow="0" w:firstColumn="1" w:lastColumn="0" w:noHBand="0" w:noVBand="1"/>
      </w:tblPr>
      <w:tblGrid>
        <w:gridCol w:w="1951"/>
        <w:gridCol w:w="2308"/>
        <w:gridCol w:w="911"/>
        <w:gridCol w:w="2026"/>
        <w:gridCol w:w="2268"/>
      </w:tblGrid>
      <w:tr w:rsidR="00920F53" w:rsidRPr="00DF05E0" w:rsidTr="007660DB">
        <w:trPr>
          <w:trHeight w:val="288"/>
        </w:trPr>
        <w:tc>
          <w:tcPr>
            <w:tcW w:w="1951" w:type="dxa"/>
            <w:noWrap/>
          </w:tcPr>
          <w:p w:rsidR="00920F53" w:rsidRPr="00DF05E0" w:rsidRDefault="00920F53" w:rsidP="007660DB">
            <w:pPr>
              <w:rPr>
                <w:rFonts w:eastAsiaTheme="minorHAnsi"/>
                <w:b/>
                <w:szCs w:val="22"/>
                <w:lang w:val="en-GB" w:eastAsia="en-US"/>
              </w:rPr>
            </w:pPr>
            <w:r w:rsidRPr="00DF05E0">
              <w:rPr>
                <w:rFonts w:eastAsiaTheme="minorHAnsi"/>
                <w:b/>
                <w:szCs w:val="22"/>
                <w:lang w:val="en-GB" w:eastAsia="en-US"/>
              </w:rPr>
              <w:t>Claim Type</w:t>
            </w:r>
          </w:p>
        </w:tc>
        <w:tc>
          <w:tcPr>
            <w:tcW w:w="2308" w:type="dxa"/>
            <w:noWrap/>
          </w:tcPr>
          <w:p w:rsidR="00920F53" w:rsidRPr="00DF05E0" w:rsidRDefault="00920F53" w:rsidP="007660DB">
            <w:pPr>
              <w:rPr>
                <w:rFonts w:eastAsiaTheme="minorHAnsi"/>
                <w:b/>
                <w:szCs w:val="22"/>
                <w:lang w:val="en-GB" w:eastAsia="en-US"/>
              </w:rPr>
            </w:pPr>
            <w:r w:rsidRPr="00DF05E0">
              <w:rPr>
                <w:rFonts w:eastAsiaTheme="minorHAnsi"/>
                <w:b/>
                <w:szCs w:val="22"/>
                <w:lang w:val="en-GB" w:eastAsia="en-US"/>
              </w:rPr>
              <w:t>Payment (net CQUIN)</w:t>
            </w:r>
          </w:p>
        </w:tc>
        <w:tc>
          <w:tcPr>
            <w:tcW w:w="911" w:type="dxa"/>
            <w:noWrap/>
          </w:tcPr>
          <w:p w:rsidR="00920F53" w:rsidRPr="00DF05E0" w:rsidRDefault="00920F53" w:rsidP="007660DB">
            <w:pPr>
              <w:rPr>
                <w:rFonts w:eastAsiaTheme="minorHAnsi"/>
                <w:b/>
                <w:szCs w:val="22"/>
                <w:lang w:val="en-GB" w:eastAsia="en-US"/>
              </w:rPr>
            </w:pPr>
            <w:r w:rsidRPr="00DF05E0">
              <w:rPr>
                <w:rFonts w:eastAsiaTheme="minorHAnsi"/>
                <w:b/>
                <w:szCs w:val="22"/>
                <w:lang w:val="en-GB" w:eastAsia="en-US"/>
              </w:rPr>
              <w:t>CQUIN</w:t>
            </w:r>
          </w:p>
        </w:tc>
        <w:tc>
          <w:tcPr>
            <w:tcW w:w="2026" w:type="dxa"/>
            <w:noWrap/>
          </w:tcPr>
          <w:p w:rsidR="00920F53" w:rsidRPr="00DF05E0" w:rsidRDefault="00920F53" w:rsidP="007660DB">
            <w:pPr>
              <w:rPr>
                <w:rFonts w:eastAsiaTheme="minorHAnsi"/>
                <w:b/>
                <w:szCs w:val="22"/>
                <w:lang w:val="en-GB" w:eastAsia="en-US"/>
              </w:rPr>
            </w:pPr>
            <w:r w:rsidRPr="00DF05E0">
              <w:rPr>
                <w:rFonts w:eastAsiaTheme="minorHAnsi"/>
                <w:b/>
                <w:szCs w:val="22"/>
                <w:lang w:val="en-GB" w:eastAsia="en-US"/>
              </w:rPr>
              <w:t>Payment per claim</w:t>
            </w:r>
          </w:p>
        </w:tc>
        <w:tc>
          <w:tcPr>
            <w:tcW w:w="2268" w:type="dxa"/>
            <w:noWrap/>
          </w:tcPr>
          <w:p w:rsidR="00920F53" w:rsidRPr="00DF05E0" w:rsidRDefault="00920F53" w:rsidP="007660DB">
            <w:pPr>
              <w:rPr>
                <w:rFonts w:eastAsiaTheme="minorHAnsi"/>
                <w:b/>
                <w:szCs w:val="22"/>
                <w:lang w:val="en-GB" w:eastAsia="en-US"/>
              </w:rPr>
            </w:pPr>
            <w:r w:rsidRPr="00DF05E0">
              <w:rPr>
                <w:rFonts w:eastAsiaTheme="minorHAnsi"/>
                <w:b/>
                <w:szCs w:val="22"/>
                <w:lang w:val="en-GB" w:eastAsia="en-US"/>
              </w:rPr>
              <w:t>Payment Description</w:t>
            </w:r>
          </w:p>
        </w:tc>
      </w:tr>
      <w:tr w:rsidR="00920F53" w:rsidRPr="00DF05E0" w:rsidTr="007660DB">
        <w:trPr>
          <w:trHeight w:val="288"/>
        </w:trPr>
        <w:tc>
          <w:tcPr>
            <w:tcW w:w="1951" w:type="dxa"/>
            <w:noWrap/>
            <w:vAlign w:val="bottom"/>
          </w:tcPr>
          <w:p w:rsidR="00920F53" w:rsidRDefault="00920F53" w:rsidP="007660DB">
            <w:pPr>
              <w:rPr>
                <w:rFonts w:ascii="Calibri" w:hAnsi="Calibri"/>
                <w:color w:val="000000"/>
                <w:szCs w:val="22"/>
              </w:rPr>
            </w:pPr>
            <w:r>
              <w:rPr>
                <w:rFonts w:ascii="Calibri" w:hAnsi="Calibri"/>
                <w:color w:val="000000"/>
                <w:szCs w:val="22"/>
              </w:rPr>
              <w:t>PSA Monitoring</w:t>
            </w:r>
          </w:p>
        </w:tc>
        <w:tc>
          <w:tcPr>
            <w:tcW w:w="2308" w:type="dxa"/>
            <w:noWrap/>
            <w:vAlign w:val="bottom"/>
          </w:tcPr>
          <w:p w:rsidR="00920F53" w:rsidRDefault="00920F53" w:rsidP="00920F53">
            <w:pPr>
              <w:rPr>
                <w:rFonts w:ascii="Calibri" w:hAnsi="Calibri"/>
                <w:color w:val="000000"/>
                <w:szCs w:val="22"/>
              </w:rPr>
            </w:pPr>
            <w:r>
              <w:rPr>
                <w:rFonts w:ascii="Calibri" w:hAnsi="Calibri"/>
                <w:color w:val="000000"/>
                <w:szCs w:val="22"/>
              </w:rPr>
              <w:t xml:space="preserve">£107.32 </w:t>
            </w:r>
          </w:p>
        </w:tc>
        <w:tc>
          <w:tcPr>
            <w:tcW w:w="911" w:type="dxa"/>
            <w:noWrap/>
            <w:vAlign w:val="bottom"/>
          </w:tcPr>
          <w:p w:rsidR="00920F53" w:rsidRDefault="00920F53" w:rsidP="00920F53">
            <w:pPr>
              <w:rPr>
                <w:rFonts w:ascii="Calibri" w:hAnsi="Calibri"/>
                <w:color w:val="000000"/>
                <w:szCs w:val="22"/>
              </w:rPr>
            </w:pPr>
            <w:r>
              <w:rPr>
                <w:rFonts w:ascii="Calibri" w:hAnsi="Calibri"/>
                <w:color w:val="000000"/>
                <w:szCs w:val="22"/>
              </w:rPr>
              <w:t>£2.68</w:t>
            </w:r>
          </w:p>
        </w:tc>
        <w:tc>
          <w:tcPr>
            <w:tcW w:w="2026" w:type="dxa"/>
            <w:noWrap/>
            <w:vAlign w:val="bottom"/>
          </w:tcPr>
          <w:p w:rsidR="00920F53" w:rsidRDefault="00920F53" w:rsidP="00920F53">
            <w:pPr>
              <w:rPr>
                <w:rFonts w:ascii="Calibri" w:hAnsi="Calibri"/>
                <w:color w:val="000000"/>
                <w:szCs w:val="22"/>
              </w:rPr>
            </w:pPr>
            <w:r>
              <w:rPr>
                <w:rFonts w:ascii="Calibri" w:hAnsi="Calibri"/>
                <w:color w:val="000000"/>
                <w:szCs w:val="22"/>
              </w:rPr>
              <w:t xml:space="preserve">£110.00 </w:t>
            </w:r>
          </w:p>
        </w:tc>
        <w:tc>
          <w:tcPr>
            <w:tcW w:w="2268" w:type="dxa"/>
            <w:noWrap/>
            <w:vAlign w:val="bottom"/>
          </w:tcPr>
          <w:p w:rsidR="00920F53" w:rsidRDefault="00920F53" w:rsidP="007660DB">
            <w:pPr>
              <w:rPr>
                <w:rFonts w:ascii="Calibri" w:hAnsi="Calibri"/>
                <w:szCs w:val="22"/>
              </w:rPr>
            </w:pPr>
            <w:r>
              <w:rPr>
                <w:rFonts w:ascii="Calibri" w:hAnsi="Calibri"/>
                <w:szCs w:val="22"/>
              </w:rPr>
              <w:t>per patient, per year</w:t>
            </w:r>
          </w:p>
        </w:tc>
      </w:tr>
    </w:tbl>
    <w:p w:rsidR="00920F53" w:rsidRDefault="00920F53" w:rsidP="00920F53">
      <w:pPr>
        <w:rPr>
          <w:rFonts w:ascii="Arial" w:hAnsi="Arial" w:cs="Arial"/>
          <w:sz w:val="20"/>
        </w:rPr>
      </w:pPr>
    </w:p>
    <w:p w:rsidR="00920F53" w:rsidRDefault="00920F53" w:rsidP="00920F53">
      <w:pPr>
        <w:autoSpaceDE w:val="0"/>
        <w:autoSpaceDN w:val="0"/>
        <w:adjustRightInd w:val="0"/>
        <w:spacing w:after="0"/>
        <w:rPr>
          <w:rFonts w:ascii="Arial" w:hAnsi="Arial" w:cs="Arial"/>
          <w:b/>
          <w:sz w:val="20"/>
        </w:rPr>
      </w:pPr>
      <w:r w:rsidRPr="009B1975">
        <w:rPr>
          <w:rFonts w:ascii="Arial" w:hAnsi="Arial" w:cs="Arial"/>
          <w:b/>
          <w:sz w:val="20"/>
        </w:rPr>
        <w:t>Anticipated Activity</w:t>
      </w:r>
      <w:r>
        <w:rPr>
          <w:rFonts w:ascii="Arial" w:eastAsiaTheme="minorHAnsi" w:hAnsi="Arial" w:cs="Arial"/>
          <w:b/>
          <w:bCs/>
          <w:i/>
          <w:iCs/>
          <w:color w:val="000000"/>
          <w:szCs w:val="24"/>
          <w:lang w:val="en-GB" w:eastAsia="en-US"/>
        </w:rPr>
        <w:t xml:space="preserve"> </w:t>
      </w:r>
    </w:p>
    <w:p w:rsidR="00712302" w:rsidRDefault="00712302">
      <w:pPr>
        <w:spacing w:line="276" w:lineRule="auto"/>
      </w:pPr>
      <w:r>
        <w:br w:type="page"/>
      </w:r>
    </w:p>
    <w:p w:rsidR="00CB3F08" w:rsidRDefault="00CB3F08" w:rsidP="001F7E3A">
      <w:pPr>
        <w:jc w:val="right"/>
        <w:rPr>
          <w:rFonts w:ascii="Calibri" w:hAnsi="Calibri" w:cs="Calibri"/>
          <w:b/>
          <w:sz w:val="22"/>
          <w:szCs w:val="22"/>
          <w:u w:val="single"/>
        </w:rPr>
        <w:sectPr w:rsidR="00CB3F08" w:rsidSect="00FF146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420" w:footer="496" w:gutter="0"/>
          <w:cols w:space="708"/>
          <w:titlePg/>
          <w:docGrid w:linePitch="360"/>
        </w:sectPr>
      </w:pPr>
    </w:p>
    <w:p w:rsidR="00712302" w:rsidRPr="001F7E3A" w:rsidRDefault="00CB3F08" w:rsidP="00CB3F08">
      <w:pPr>
        <w:jc w:val="center"/>
        <w:rPr>
          <w:rFonts w:ascii="Calibri" w:hAnsi="Calibri" w:cs="Calibri"/>
          <w:b/>
          <w:sz w:val="22"/>
          <w:szCs w:val="22"/>
          <w:u w:val="single"/>
        </w:rPr>
      </w:pPr>
      <w:r>
        <w:rPr>
          <w:rFonts w:ascii="Calibri" w:hAnsi="Calibri" w:cs="Calibri"/>
          <w:b/>
          <w:noProof/>
          <w:sz w:val="22"/>
          <w:szCs w:val="22"/>
          <w:u w:val="single"/>
          <w:lang w:val="en-GB" w:eastAsia="en-GB"/>
        </w:rPr>
        <w:lastRenderedPageBreak/>
        <w:drawing>
          <wp:anchor distT="0" distB="0" distL="114300" distR="114300" simplePos="0" relativeHeight="251661312" behindDoc="0" locked="0" layoutInCell="1" allowOverlap="1">
            <wp:simplePos x="0" y="0"/>
            <wp:positionH relativeFrom="margin">
              <wp:align>center</wp:align>
            </wp:positionH>
            <wp:positionV relativeFrom="margin">
              <wp:posOffset>474980</wp:posOffset>
            </wp:positionV>
            <wp:extent cx="7571740" cy="5287645"/>
            <wp:effectExtent l="19050" t="0" r="0"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Flowchart.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571740" cy="5287645"/>
                    </a:xfrm>
                    <a:prstGeom prst="rect">
                      <a:avLst/>
                    </a:prstGeom>
                  </pic:spPr>
                </pic:pic>
              </a:graphicData>
            </a:graphic>
          </wp:anchor>
        </w:drawing>
      </w:r>
      <w:r w:rsidR="00712302" w:rsidRPr="001F7E3A">
        <w:rPr>
          <w:rFonts w:ascii="Calibri" w:hAnsi="Calibri" w:cs="Calibri"/>
          <w:b/>
          <w:sz w:val="22"/>
          <w:szCs w:val="22"/>
          <w:u w:val="single"/>
        </w:rPr>
        <w:t>APPENDIX 1</w:t>
      </w:r>
      <w:r w:rsidR="007C30B0" w:rsidRPr="001F7E3A">
        <w:rPr>
          <w:rFonts w:ascii="Calibri" w:hAnsi="Calibri" w:cs="Calibri"/>
          <w:b/>
          <w:sz w:val="22"/>
          <w:szCs w:val="22"/>
          <w:u w:val="single"/>
        </w:rPr>
        <w:t xml:space="preserve"> </w:t>
      </w:r>
      <w:r>
        <w:rPr>
          <w:rFonts w:ascii="Calibri" w:hAnsi="Calibri" w:cs="Calibri"/>
          <w:b/>
          <w:sz w:val="22"/>
          <w:szCs w:val="22"/>
          <w:u w:val="single"/>
        </w:rPr>
        <w:t xml:space="preserve">- </w:t>
      </w:r>
      <w:r w:rsidR="001F7E3A" w:rsidRPr="001F7E3A">
        <w:rPr>
          <w:rFonts w:ascii="Calibri" w:hAnsi="Calibri" w:cs="Calibri"/>
          <w:b/>
          <w:sz w:val="22"/>
          <w:szCs w:val="22"/>
          <w:u w:val="single"/>
        </w:rPr>
        <w:t xml:space="preserve">Management of </w:t>
      </w:r>
      <w:r w:rsidR="00712302" w:rsidRPr="001F7E3A">
        <w:rPr>
          <w:rFonts w:ascii="Calibri" w:hAnsi="Calibri" w:cs="Calibri"/>
          <w:b/>
          <w:sz w:val="22"/>
          <w:szCs w:val="22"/>
          <w:u w:val="single"/>
        </w:rPr>
        <w:t>Stable Prostate Cancer Secondary/Primary Care Management Pathway (Birmingham Cross City, Solihull and South East Staffordshire and Seisdon Peninsula CCGs)</w:t>
      </w:r>
    </w:p>
    <w:p w:rsidR="00712302" w:rsidRDefault="00712302" w:rsidP="00712302">
      <w:pPr>
        <w:rPr>
          <w:rFonts w:ascii="Calibri" w:hAnsi="Calibri" w:cs="Calibri"/>
          <w:sz w:val="22"/>
          <w:szCs w:val="22"/>
        </w:rPr>
      </w:pPr>
    </w:p>
    <w:p w:rsidR="001F7E3A" w:rsidRPr="00B47D6A" w:rsidRDefault="001F7E3A" w:rsidP="00712302">
      <w:pPr>
        <w:rPr>
          <w:rFonts w:ascii="Calibri" w:hAnsi="Calibri" w:cs="Calibri"/>
          <w:sz w:val="22"/>
          <w:szCs w:val="22"/>
        </w:rPr>
        <w:sectPr w:rsidR="001F7E3A" w:rsidRPr="00B47D6A" w:rsidSect="00CB3F08">
          <w:pgSz w:w="16838" w:h="11906" w:orient="landscape"/>
          <w:pgMar w:top="1276" w:right="1440" w:bottom="1440" w:left="1440" w:header="420" w:footer="496" w:gutter="0"/>
          <w:cols w:space="708"/>
          <w:titlePg/>
          <w:docGrid w:linePitch="360"/>
        </w:sectPr>
      </w:pPr>
    </w:p>
    <w:p w:rsidR="007C30B0" w:rsidRDefault="007C30B0" w:rsidP="007C30B0">
      <w:pPr>
        <w:rPr>
          <w:rFonts w:ascii="Calibri" w:hAnsi="Calibri" w:cs="Calibri"/>
          <w:b/>
          <w:bCs/>
          <w:sz w:val="22"/>
          <w:szCs w:val="22"/>
          <w:u w:val="single"/>
        </w:rPr>
      </w:pPr>
      <w:r w:rsidRPr="007C30B0">
        <w:rPr>
          <w:rFonts w:ascii="Calibri" w:hAnsi="Calibri" w:cs="Calibri"/>
          <w:b/>
          <w:i/>
          <w:sz w:val="22"/>
          <w:szCs w:val="22"/>
          <w:u w:val="single"/>
        </w:rPr>
        <w:lastRenderedPageBreak/>
        <w:t xml:space="preserve">APPENDIX 2a - </w:t>
      </w:r>
      <w:r w:rsidRPr="007C30B0">
        <w:rPr>
          <w:rFonts w:ascii="Calibri" w:hAnsi="Calibri" w:cs="Calibri"/>
          <w:b/>
          <w:bCs/>
          <w:sz w:val="22"/>
          <w:szCs w:val="22"/>
          <w:u w:val="single"/>
        </w:rPr>
        <w:t>Individual Discharge Management Plan Template</w:t>
      </w:r>
    </w:p>
    <w:p w:rsidR="004E4102" w:rsidRDefault="00552584">
      <w:pPr>
        <w:spacing w:line="276" w:lineRule="auto"/>
        <w:rPr>
          <w:rFonts w:ascii="Calibri" w:hAnsi="Calibri" w:cs="Calibri"/>
          <w:b/>
          <w:bCs/>
          <w:i/>
          <w:sz w:val="22"/>
          <w:szCs w:val="22"/>
          <w:u w:val="single"/>
        </w:rPr>
      </w:pPr>
      <w:r>
        <w:rPr>
          <w:noProof/>
          <w:lang w:val="en-GB" w:eastAsia="en-GB"/>
        </w:rPr>
        <w:drawing>
          <wp:anchor distT="0" distB="0" distL="114300" distR="114300" simplePos="0" relativeHeight="251658240" behindDoc="0" locked="0" layoutInCell="1" allowOverlap="1">
            <wp:simplePos x="0" y="0"/>
            <wp:positionH relativeFrom="column">
              <wp:posOffset>0</wp:posOffset>
            </wp:positionH>
            <wp:positionV relativeFrom="paragraph">
              <wp:posOffset>-2540</wp:posOffset>
            </wp:positionV>
            <wp:extent cx="5686425" cy="8112374"/>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cstate="print">
                      <a:extLst>
                        <a:ext uri="{28A0092B-C50C-407E-A947-70E740481C1C}">
                          <a14:useLocalDpi xmlns:a14="http://schemas.microsoft.com/office/drawing/2010/main" val="0"/>
                        </a:ext>
                      </a:extLst>
                    </a:blip>
                    <a:srcRect l="25790" t="8732" r="25458" b="4330"/>
                    <a:stretch/>
                  </pic:blipFill>
                  <pic:spPr bwMode="auto">
                    <a:xfrm>
                      <a:off x="0" y="0"/>
                      <a:ext cx="5686425" cy="8112374"/>
                    </a:xfrm>
                    <a:prstGeom prst="rect">
                      <a:avLst/>
                    </a:prstGeom>
                    <a:ln>
                      <a:noFill/>
                    </a:ln>
                    <a:extLst>
                      <a:ext uri="{53640926-AAD7-44D8-BBD7-CCE9431645EC}">
                        <a14:shadowObscured xmlns:a14="http://schemas.microsoft.com/office/drawing/2010/main"/>
                      </a:ext>
                    </a:extLst>
                  </pic:spPr>
                </pic:pic>
              </a:graphicData>
            </a:graphic>
          </wp:anchor>
        </w:drawing>
      </w:r>
      <w:r w:rsidR="004E4102">
        <w:rPr>
          <w:rFonts w:ascii="Calibri" w:hAnsi="Calibri" w:cs="Calibri"/>
          <w:b/>
          <w:bCs/>
          <w:i/>
          <w:sz w:val="22"/>
          <w:szCs w:val="22"/>
          <w:u w:val="single"/>
        </w:rPr>
        <w:br w:type="page"/>
      </w:r>
    </w:p>
    <w:p w:rsidR="004E4102" w:rsidRDefault="00552584">
      <w:pPr>
        <w:spacing w:line="276" w:lineRule="auto"/>
        <w:rPr>
          <w:rFonts w:ascii="Calibri" w:hAnsi="Calibri" w:cs="Calibri"/>
          <w:b/>
          <w:bCs/>
          <w:i/>
          <w:sz w:val="22"/>
          <w:szCs w:val="22"/>
          <w:u w:val="single"/>
        </w:rPr>
      </w:pPr>
      <w:r>
        <w:rPr>
          <w:noProof/>
          <w:lang w:val="en-GB" w:eastAsia="en-GB"/>
        </w:rPr>
        <w:lastRenderedPageBreak/>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715000" cy="8178362"/>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cstate="print">
                      <a:extLst>
                        <a:ext uri="{28A0092B-C50C-407E-A947-70E740481C1C}">
                          <a14:useLocalDpi xmlns:a14="http://schemas.microsoft.com/office/drawing/2010/main" val="0"/>
                        </a:ext>
                      </a:extLst>
                    </a:blip>
                    <a:srcRect l="26124" t="9147" r="25624" b="4538"/>
                    <a:stretch/>
                  </pic:blipFill>
                  <pic:spPr bwMode="auto">
                    <a:xfrm>
                      <a:off x="0" y="0"/>
                      <a:ext cx="5715000" cy="8178362"/>
                    </a:xfrm>
                    <a:prstGeom prst="rect">
                      <a:avLst/>
                    </a:prstGeom>
                    <a:ln>
                      <a:noFill/>
                    </a:ln>
                    <a:extLst>
                      <a:ext uri="{53640926-AAD7-44D8-BBD7-CCE9431645EC}">
                        <a14:shadowObscured xmlns:a14="http://schemas.microsoft.com/office/drawing/2010/main"/>
                      </a:ext>
                    </a:extLst>
                  </pic:spPr>
                </pic:pic>
              </a:graphicData>
            </a:graphic>
          </wp:anchor>
        </w:drawing>
      </w:r>
      <w:r w:rsidR="004E4102">
        <w:rPr>
          <w:rFonts w:ascii="Calibri" w:hAnsi="Calibri" w:cs="Calibri"/>
          <w:b/>
          <w:bCs/>
          <w:i/>
          <w:sz w:val="22"/>
          <w:szCs w:val="22"/>
          <w:u w:val="single"/>
        </w:rPr>
        <w:br w:type="page"/>
      </w:r>
    </w:p>
    <w:p w:rsidR="007C30B0" w:rsidRPr="007C30B0" w:rsidRDefault="007C30B0" w:rsidP="007C30B0">
      <w:pPr>
        <w:spacing w:after="0"/>
        <w:rPr>
          <w:rFonts w:ascii="Calibri" w:hAnsi="Calibri" w:cs="Arial"/>
          <w:b/>
          <w:sz w:val="22"/>
          <w:szCs w:val="22"/>
          <w:u w:val="single"/>
        </w:rPr>
      </w:pPr>
      <w:r w:rsidRPr="007C30B0">
        <w:rPr>
          <w:rFonts w:ascii="Calibri" w:hAnsi="Calibri" w:cs="Calibri"/>
          <w:b/>
          <w:bCs/>
          <w:i/>
          <w:sz w:val="22"/>
          <w:szCs w:val="22"/>
          <w:u w:val="single"/>
        </w:rPr>
        <w:lastRenderedPageBreak/>
        <w:t xml:space="preserve">APPENDIX </w:t>
      </w:r>
      <w:r w:rsidRPr="007C30B0">
        <w:rPr>
          <w:rFonts w:ascii="Calibri" w:hAnsi="Calibri" w:cs="Calibri"/>
          <w:b/>
          <w:i/>
          <w:sz w:val="22"/>
          <w:szCs w:val="22"/>
          <w:u w:val="single"/>
        </w:rPr>
        <w:t xml:space="preserve">2b - </w:t>
      </w:r>
      <w:r w:rsidRPr="007C30B0">
        <w:rPr>
          <w:rFonts w:ascii="Calibri" w:hAnsi="Calibri" w:cs="Arial"/>
          <w:b/>
          <w:sz w:val="22"/>
          <w:szCs w:val="22"/>
          <w:u w:val="single"/>
        </w:rPr>
        <w:t xml:space="preserve">Prescribing Agreements for Goserelin/Leuprorelin, </w:t>
      </w:r>
      <w:r w:rsidRPr="007C30B0">
        <w:rPr>
          <w:rFonts w:ascii="Calibri" w:hAnsi="Calibri" w:cs="Arial"/>
          <w:b/>
          <w:snapToGrid w:val="0"/>
          <w:sz w:val="22"/>
          <w:szCs w:val="22"/>
          <w:u w:val="single"/>
        </w:rPr>
        <w:t xml:space="preserve">Cyproterone acetate </w:t>
      </w:r>
      <w:r w:rsidRPr="007C30B0">
        <w:rPr>
          <w:rFonts w:ascii="Calibri" w:hAnsi="Calibri" w:cs="Arial"/>
          <w:b/>
          <w:sz w:val="22"/>
          <w:szCs w:val="22"/>
          <w:u w:val="single"/>
        </w:rPr>
        <w:t xml:space="preserve">and </w:t>
      </w:r>
    </w:p>
    <w:p w:rsidR="007C30B0" w:rsidRPr="007C30B0" w:rsidRDefault="007C30B0" w:rsidP="007C30B0">
      <w:pPr>
        <w:spacing w:after="0"/>
        <w:rPr>
          <w:rFonts w:ascii="Calibri" w:hAnsi="Calibri" w:cs="Arial"/>
          <w:b/>
          <w:sz w:val="22"/>
          <w:szCs w:val="22"/>
          <w:u w:val="single"/>
        </w:rPr>
      </w:pPr>
      <w:r w:rsidRPr="007C30B0">
        <w:rPr>
          <w:rFonts w:ascii="Calibri" w:hAnsi="Calibri" w:cs="Arial"/>
          <w:b/>
          <w:sz w:val="22"/>
          <w:szCs w:val="22"/>
          <w:u w:val="single"/>
        </w:rPr>
        <w:t>Bicalutamide</w:t>
      </w:r>
    </w:p>
    <w:p w:rsidR="007C30B0" w:rsidRDefault="007C30B0" w:rsidP="007C30B0">
      <w:pPr>
        <w:tabs>
          <w:tab w:val="left" w:pos="567"/>
        </w:tabs>
        <w:rPr>
          <w:rFonts w:ascii="Calibri" w:hAnsi="Calibri" w:cs="Calibri"/>
          <w:b/>
          <w:i/>
          <w:sz w:val="22"/>
          <w:szCs w:val="22"/>
          <w:u w:val="single"/>
        </w:rPr>
      </w:pPr>
    </w:p>
    <w:p w:rsidR="007C30B0" w:rsidRPr="004D590E" w:rsidRDefault="007C30B0" w:rsidP="007C30B0">
      <w:pPr>
        <w:rPr>
          <w:rFonts w:ascii="Calibri" w:hAnsi="Calibri"/>
          <w:b/>
          <w:sz w:val="22"/>
          <w:szCs w:val="22"/>
        </w:rPr>
      </w:pPr>
      <w:r w:rsidRPr="004D590E">
        <w:rPr>
          <w:rFonts w:ascii="Calibri" w:hAnsi="Calibri"/>
          <w:b/>
          <w:sz w:val="22"/>
          <w:szCs w:val="22"/>
        </w:rPr>
        <w:t>General principle</w:t>
      </w:r>
      <w:r>
        <w:rPr>
          <w:rFonts w:ascii="Calibri" w:hAnsi="Calibri"/>
          <w:b/>
          <w:sz w:val="22"/>
          <w:szCs w:val="22"/>
        </w:rPr>
        <w:t>s</w:t>
      </w:r>
      <w:r w:rsidRPr="004D590E">
        <w:rPr>
          <w:rFonts w:ascii="Calibri" w:hAnsi="Calibri"/>
          <w:b/>
          <w:sz w:val="22"/>
          <w:szCs w:val="22"/>
        </w:rPr>
        <w:t xml:space="preserve"> of sharing care</w:t>
      </w:r>
    </w:p>
    <w:p w:rsidR="007C30B0" w:rsidRPr="004D590E" w:rsidRDefault="007C30B0" w:rsidP="007C30B0">
      <w:pPr>
        <w:rPr>
          <w:rFonts w:ascii="Calibri" w:hAnsi="Calibri" w:cs="Arial"/>
          <w:color w:val="000000"/>
          <w:sz w:val="22"/>
          <w:szCs w:val="22"/>
        </w:rPr>
      </w:pPr>
      <w:r>
        <w:rPr>
          <w:rFonts w:ascii="Calibri" w:hAnsi="Calibri" w:cs="Arial"/>
          <w:color w:val="000000"/>
          <w:sz w:val="22"/>
          <w:szCs w:val="22"/>
        </w:rPr>
        <w:t>The</w:t>
      </w:r>
      <w:r w:rsidRPr="004D590E">
        <w:rPr>
          <w:rFonts w:ascii="Calibri" w:hAnsi="Calibri" w:cs="Arial"/>
          <w:color w:val="000000"/>
          <w:sz w:val="22"/>
          <w:szCs w:val="22"/>
        </w:rPr>
        <w:t xml:space="preserve"> prescribing agreements listed below </w:t>
      </w:r>
      <w:r>
        <w:rPr>
          <w:rFonts w:ascii="Calibri" w:hAnsi="Calibri" w:cs="Arial"/>
          <w:color w:val="000000"/>
          <w:sz w:val="22"/>
          <w:szCs w:val="22"/>
        </w:rPr>
        <w:t>outline the</w:t>
      </w:r>
      <w:r w:rsidRPr="004D590E">
        <w:rPr>
          <w:rFonts w:ascii="Calibri" w:hAnsi="Calibri" w:cs="Arial"/>
          <w:color w:val="000000"/>
          <w:sz w:val="22"/>
          <w:szCs w:val="22"/>
        </w:rPr>
        <w:t xml:space="preserve"> suggested ways in which the responsibilities for managing the prescribing of </w:t>
      </w:r>
      <w:r w:rsidRPr="004D590E">
        <w:rPr>
          <w:rFonts w:ascii="Calibri" w:hAnsi="Calibri" w:cs="Arial"/>
          <w:b/>
          <w:sz w:val="22"/>
          <w:szCs w:val="22"/>
        </w:rPr>
        <w:t xml:space="preserve">Goserelin/Leuprorelin, </w:t>
      </w:r>
      <w:r w:rsidRPr="004D590E">
        <w:rPr>
          <w:rFonts w:ascii="Calibri" w:hAnsi="Calibri" w:cs="Arial"/>
          <w:b/>
          <w:snapToGrid w:val="0"/>
          <w:sz w:val="22"/>
          <w:szCs w:val="22"/>
        </w:rPr>
        <w:t xml:space="preserve">Cyproterone acetate </w:t>
      </w:r>
      <w:r w:rsidRPr="004D590E">
        <w:rPr>
          <w:rFonts w:ascii="Calibri" w:hAnsi="Calibri" w:cs="Arial"/>
          <w:b/>
          <w:sz w:val="22"/>
          <w:szCs w:val="22"/>
        </w:rPr>
        <w:t>and Bicalutamide</w:t>
      </w:r>
      <w:r>
        <w:rPr>
          <w:rFonts w:ascii="Calibri" w:hAnsi="Calibri" w:cs="Arial"/>
          <w:b/>
          <w:sz w:val="22"/>
          <w:szCs w:val="22"/>
        </w:rPr>
        <w:t xml:space="preserve"> </w:t>
      </w:r>
      <w:r w:rsidRPr="004D590E">
        <w:rPr>
          <w:rFonts w:ascii="Calibri" w:hAnsi="Calibri" w:cs="Arial"/>
          <w:color w:val="000000"/>
          <w:sz w:val="22"/>
          <w:szCs w:val="22"/>
        </w:rPr>
        <w:t xml:space="preserve">for stable prostate cancer can be shared between the specialist and general practitioner (GP).  GPs are </w:t>
      </w:r>
      <w:r w:rsidRPr="004D590E">
        <w:rPr>
          <w:rFonts w:ascii="Calibri" w:hAnsi="Calibri" w:cs="Arial"/>
          <w:b/>
          <w:color w:val="000000"/>
          <w:sz w:val="22"/>
          <w:szCs w:val="22"/>
        </w:rPr>
        <w:t>invited</w:t>
      </w:r>
      <w:r w:rsidRPr="004D590E">
        <w:rPr>
          <w:rFonts w:ascii="Calibri" w:hAnsi="Calibri" w:cs="Arial"/>
          <w:color w:val="000000"/>
          <w:sz w:val="22"/>
          <w:szCs w:val="22"/>
        </w:rPr>
        <w:t xml:space="preserve"> to participate. If the GP is not confident to undertake these roles, then they are under no obligation to do so. In such an event, the total clinical responsibility for the patient for the diagnosed condition remains with the specialist.  </w:t>
      </w:r>
      <w:r w:rsidRPr="004D590E">
        <w:rPr>
          <w:rFonts w:ascii="Calibri" w:hAnsi="Calibri" w:cs="Arial"/>
          <w:b/>
          <w:color w:val="000000"/>
          <w:sz w:val="22"/>
          <w:szCs w:val="22"/>
        </w:rPr>
        <w:t xml:space="preserve">If a specialist asks the GP to prescribe this drug, the GP </w:t>
      </w:r>
      <w:r w:rsidRPr="004D590E">
        <w:rPr>
          <w:rFonts w:ascii="Calibri" w:hAnsi="Calibri" w:cs="Arial"/>
          <w:b/>
          <w:snapToGrid w:val="0"/>
          <w:color w:val="000000"/>
          <w:sz w:val="22"/>
          <w:szCs w:val="22"/>
          <w:lang w:eastAsia="en-US"/>
        </w:rPr>
        <w:t>should reply to this request as soon as practicable.</w:t>
      </w:r>
    </w:p>
    <w:p w:rsidR="007C30B0" w:rsidRPr="004D590E" w:rsidRDefault="007C30B0" w:rsidP="007C30B0">
      <w:pPr>
        <w:pStyle w:val="mtrachead6"/>
        <w:tabs>
          <w:tab w:val="right" w:pos="360"/>
          <w:tab w:val="left" w:pos="540"/>
        </w:tabs>
        <w:rPr>
          <w:rFonts w:ascii="Calibri" w:hAnsi="Calibri" w:cs="Arial"/>
          <w:i w:val="0"/>
          <w:sz w:val="22"/>
          <w:szCs w:val="22"/>
        </w:rPr>
      </w:pPr>
    </w:p>
    <w:p w:rsidR="007C30B0" w:rsidRPr="004D590E" w:rsidRDefault="007C30B0" w:rsidP="007C30B0">
      <w:pPr>
        <w:tabs>
          <w:tab w:val="right" w:pos="360"/>
          <w:tab w:val="left" w:pos="540"/>
        </w:tabs>
        <w:rPr>
          <w:rFonts w:ascii="Calibri" w:hAnsi="Calibri" w:cs="Arial"/>
          <w:snapToGrid w:val="0"/>
          <w:sz w:val="22"/>
          <w:szCs w:val="22"/>
          <w:lang w:eastAsia="en-US"/>
        </w:rPr>
      </w:pPr>
      <w:r w:rsidRPr="004D590E">
        <w:rPr>
          <w:rFonts w:ascii="Calibri" w:hAnsi="Calibri" w:cs="Arial"/>
          <w:snapToGrid w:val="0"/>
          <w:sz w:val="22"/>
          <w:szCs w:val="22"/>
          <w:lang w:eastAsia="en-US"/>
        </w:rPr>
        <w:t>Sharing of care assumes communication between the specialist, GP and patient.  The intention to share care should be explained to the patient by the doctor initiating treatment.  It is important that patients are consulted about treatment and are in agreement with it.  Patients with stable prostate cancer are under regular follow-up, which provides an opportunity to discuss drug therapy.</w:t>
      </w:r>
    </w:p>
    <w:p w:rsidR="007C30B0" w:rsidRPr="004D590E" w:rsidRDefault="007C30B0" w:rsidP="007C30B0">
      <w:pPr>
        <w:tabs>
          <w:tab w:val="right" w:pos="360"/>
          <w:tab w:val="left" w:pos="540"/>
        </w:tabs>
        <w:rPr>
          <w:rFonts w:ascii="Calibri" w:hAnsi="Calibri" w:cs="Arial"/>
          <w:snapToGrid w:val="0"/>
          <w:sz w:val="22"/>
          <w:szCs w:val="22"/>
          <w:lang w:eastAsia="en-US"/>
        </w:rPr>
      </w:pPr>
    </w:p>
    <w:p w:rsidR="007C30B0" w:rsidRPr="004D590E" w:rsidRDefault="007C30B0" w:rsidP="007C30B0">
      <w:pPr>
        <w:pStyle w:val="mtrachead3"/>
        <w:keepNext w:val="0"/>
        <w:tabs>
          <w:tab w:val="right" w:pos="360"/>
          <w:tab w:val="left" w:pos="540"/>
        </w:tabs>
        <w:outlineLvl w:val="9"/>
        <w:rPr>
          <w:rFonts w:ascii="Calibri" w:hAnsi="Calibri" w:cs="Arial"/>
          <w:sz w:val="22"/>
          <w:szCs w:val="22"/>
        </w:rPr>
      </w:pPr>
      <w:r w:rsidRPr="004D590E">
        <w:rPr>
          <w:rFonts w:ascii="Calibri" w:hAnsi="Calibri" w:cs="Arial"/>
          <w:sz w:val="22"/>
          <w:szCs w:val="22"/>
        </w:rPr>
        <w:t>The doctor who prescribes the medication legally assumes clinical responsibility for the drug and the consequences of its use.</w:t>
      </w:r>
    </w:p>
    <w:p w:rsidR="007C30B0" w:rsidRDefault="007C30B0" w:rsidP="007C30B0">
      <w:pPr>
        <w:jc w:val="center"/>
        <w:rPr>
          <w:rFonts w:ascii="Calibri" w:hAnsi="Calibri"/>
          <w:b/>
        </w:rPr>
      </w:pPr>
    </w:p>
    <w:p w:rsidR="007C30B0" w:rsidRDefault="007C30B0" w:rsidP="007C30B0">
      <w:pPr>
        <w:jc w:val="center"/>
        <w:rPr>
          <w:rFonts w:ascii="Calibri" w:hAnsi="Calibri"/>
          <w:b/>
        </w:rPr>
      </w:pPr>
    </w:p>
    <w:p w:rsidR="007C30B0" w:rsidRDefault="007C30B0" w:rsidP="007C30B0">
      <w:pPr>
        <w:rPr>
          <w:rFonts w:ascii="Calibri" w:hAnsi="Calibri"/>
          <w:b/>
        </w:rPr>
      </w:pPr>
    </w:p>
    <w:p w:rsidR="007C30B0" w:rsidRDefault="007C30B0" w:rsidP="007C30B0">
      <w:pPr>
        <w:rPr>
          <w:rFonts w:ascii="Calibri" w:hAnsi="Calibri"/>
          <w:b/>
        </w:rPr>
      </w:pPr>
    </w:p>
    <w:p w:rsidR="007C30B0" w:rsidRDefault="007C30B0" w:rsidP="007C30B0">
      <w:pPr>
        <w:rPr>
          <w:rFonts w:ascii="Calibri" w:hAnsi="Calibri"/>
          <w:b/>
        </w:rPr>
      </w:pPr>
    </w:p>
    <w:p w:rsidR="007C30B0" w:rsidRDefault="007C30B0" w:rsidP="007C30B0">
      <w:pPr>
        <w:rPr>
          <w:rFonts w:ascii="Calibri" w:hAnsi="Calibri"/>
          <w:b/>
        </w:rPr>
      </w:pPr>
    </w:p>
    <w:p w:rsidR="007C30B0" w:rsidRDefault="007C30B0" w:rsidP="007C30B0">
      <w:pPr>
        <w:rPr>
          <w:rFonts w:ascii="Calibri" w:hAnsi="Calibri"/>
          <w:b/>
        </w:rPr>
      </w:pPr>
    </w:p>
    <w:p w:rsidR="007C30B0" w:rsidRDefault="007C30B0" w:rsidP="007C30B0">
      <w:pPr>
        <w:rPr>
          <w:rFonts w:ascii="Calibri" w:hAnsi="Calibri"/>
          <w:b/>
        </w:rPr>
      </w:pPr>
    </w:p>
    <w:p w:rsidR="007C30B0" w:rsidRPr="00E362C5" w:rsidRDefault="007C30B0" w:rsidP="007C30B0">
      <w:pPr>
        <w:pStyle w:val="BodyText2"/>
        <w:tabs>
          <w:tab w:val="right" w:pos="540"/>
          <w:tab w:val="left" w:pos="720"/>
        </w:tabs>
        <w:rPr>
          <w:rFonts w:ascii="Calibri" w:hAnsi="Calibri" w:cs="Arial"/>
          <w:sz w:val="24"/>
          <w:szCs w:val="24"/>
        </w:rPr>
      </w:pPr>
      <w:r w:rsidRPr="00E362C5">
        <w:rPr>
          <w:rFonts w:ascii="Calibri" w:hAnsi="Calibri" w:cs="Arial"/>
          <w:sz w:val="24"/>
          <w:szCs w:val="24"/>
        </w:rPr>
        <w:t xml:space="preserve">Formulary inclusion and shared care approved by Birmingham Cross City CCG, Solihull CCG, and </w:t>
      </w:r>
      <w:smartTag w:uri="urn:schemas-microsoft-com:office:smarttags" w:element="City">
        <w:r w:rsidRPr="00E362C5">
          <w:rPr>
            <w:rFonts w:ascii="Calibri" w:hAnsi="Calibri" w:cs="Arial"/>
            <w:sz w:val="24"/>
            <w:szCs w:val="24"/>
          </w:rPr>
          <w:t>Birmingham</w:t>
        </w:r>
      </w:smartTag>
      <w:r w:rsidRPr="00E362C5">
        <w:rPr>
          <w:rFonts w:ascii="Calibri" w:hAnsi="Calibri" w:cs="Arial"/>
          <w:sz w:val="24"/>
          <w:szCs w:val="24"/>
        </w:rPr>
        <w:t xml:space="preserve"> South </w:t>
      </w:r>
      <w:smartTag w:uri="urn:schemas-microsoft-com:office:smarttags" w:element="place">
        <w:r w:rsidRPr="00E362C5">
          <w:rPr>
            <w:rFonts w:ascii="Calibri" w:hAnsi="Calibri" w:cs="Arial"/>
            <w:sz w:val="24"/>
            <w:szCs w:val="24"/>
          </w:rPr>
          <w:t>Central CCG</w:t>
        </w:r>
      </w:smartTag>
      <w:r w:rsidRPr="00E362C5">
        <w:rPr>
          <w:rFonts w:ascii="Calibri" w:hAnsi="Calibri" w:cs="Arial"/>
          <w:sz w:val="24"/>
          <w:szCs w:val="24"/>
        </w:rPr>
        <w:t xml:space="preserve">, University Hospital Birmingham, Heart Of England Foundation Trust </w:t>
      </w:r>
    </w:p>
    <w:p w:rsidR="007C30B0" w:rsidRPr="00E362C5" w:rsidRDefault="007C30B0" w:rsidP="007C30B0">
      <w:pPr>
        <w:pStyle w:val="BodyText2"/>
        <w:tabs>
          <w:tab w:val="right" w:pos="540"/>
          <w:tab w:val="left" w:pos="720"/>
        </w:tabs>
        <w:rPr>
          <w:rFonts w:ascii="Calibri" w:hAnsi="Calibri" w:cs="Arial"/>
          <w:sz w:val="24"/>
          <w:szCs w:val="24"/>
        </w:rPr>
      </w:pPr>
    </w:p>
    <w:p w:rsidR="007C30B0" w:rsidRPr="00E362C5" w:rsidRDefault="007C30B0" w:rsidP="007C30B0">
      <w:pPr>
        <w:pStyle w:val="BodyText2"/>
        <w:tabs>
          <w:tab w:val="right" w:pos="540"/>
          <w:tab w:val="left" w:pos="720"/>
        </w:tabs>
        <w:rPr>
          <w:rFonts w:ascii="Calibri" w:hAnsi="Calibri" w:cs="Arial"/>
          <w:sz w:val="24"/>
          <w:szCs w:val="24"/>
        </w:rPr>
      </w:pPr>
      <w:r w:rsidRPr="00E362C5">
        <w:rPr>
          <w:rFonts w:ascii="Calibri" w:hAnsi="Calibri" w:cs="Arial"/>
          <w:sz w:val="24"/>
          <w:szCs w:val="24"/>
        </w:rPr>
        <w:t xml:space="preserve">This </w:t>
      </w:r>
      <w:r>
        <w:rPr>
          <w:rFonts w:ascii="Calibri" w:hAnsi="Calibri" w:cs="Arial"/>
          <w:sz w:val="24"/>
          <w:szCs w:val="24"/>
        </w:rPr>
        <w:t xml:space="preserve">prescribing agreements </w:t>
      </w:r>
      <w:r w:rsidRPr="00E362C5">
        <w:rPr>
          <w:rFonts w:ascii="Calibri" w:hAnsi="Calibri" w:cs="Arial"/>
          <w:sz w:val="24"/>
          <w:szCs w:val="24"/>
        </w:rPr>
        <w:t>should be read in conjunction with the Summary of Products Characteristics (SPC) &amp; used in line with recommendations made in the Joint Formularies.</w:t>
      </w:r>
    </w:p>
    <w:p w:rsidR="007C30B0" w:rsidRPr="00E362C5" w:rsidRDefault="007C30B0" w:rsidP="007C30B0">
      <w:pPr>
        <w:pStyle w:val="BodyText2"/>
        <w:tabs>
          <w:tab w:val="right" w:pos="540"/>
          <w:tab w:val="left" w:pos="720"/>
        </w:tabs>
        <w:rPr>
          <w:rFonts w:ascii="Calibri" w:hAnsi="Calibri" w:cs="Arial"/>
          <w:sz w:val="24"/>
          <w:szCs w:val="24"/>
        </w:rPr>
      </w:pPr>
    </w:p>
    <w:p w:rsidR="007C30B0" w:rsidRPr="00E362C5" w:rsidRDefault="007C30B0" w:rsidP="007C30B0">
      <w:pPr>
        <w:pStyle w:val="BodyText2"/>
        <w:tabs>
          <w:tab w:val="right" w:pos="540"/>
          <w:tab w:val="left" w:pos="720"/>
        </w:tabs>
        <w:rPr>
          <w:rFonts w:ascii="Calibri" w:hAnsi="Calibri" w:cs="Arial"/>
          <w:sz w:val="24"/>
          <w:szCs w:val="24"/>
        </w:rPr>
      </w:pPr>
      <w:r w:rsidRPr="00E362C5">
        <w:rPr>
          <w:rFonts w:ascii="Calibri" w:hAnsi="Calibri" w:cs="Arial"/>
          <w:sz w:val="24"/>
          <w:szCs w:val="24"/>
        </w:rPr>
        <w:t xml:space="preserve">Prescribing agreement template based on MTRAC template </w:t>
      </w:r>
    </w:p>
    <w:p w:rsidR="007C30B0" w:rsidRPr="00E362C5" w:rsidRDefault="007C30B0" w:rsidP="007C30B0">
      <w:pPr>
        <w:pStyle w:val="BodyText2"/>
        <w:tabs>
          <w:tab w:val="right" w:pos="540"/>
          <w:tab w:val="left" w:pos="720"/>
        </w:tabs>
        <w:rPr>
          <w:rFonts w:ascii="Calibri" w:hAnsi="Calibri" w:cs="Arial"/>
          <w:sz w:val="24"/>
          <w:szCs w:val="24"/>
        </w:rPr>
      </w:pPr>
    </w:p>
    <w:p w:rsidR="007C30B0" w:rsidRDefault="007C30B0" w:rsidP="007C30B0">
      <w:pPr>
        <w:pStyle w:val="BodyText2"/>
        <w:tabs>
          <w:tab w:val="right" w:pos="540"/>
          <w:tab w:val="left" w:pos="720"/>
        </w:tabs>
        <w:rPr>
          <w:rFonts w:ascii="Calibri" w:hAnsi="Calibri" w:cs="Arial"/>
          <w:sz w:val="24"/>
          <w:szCs w:val="24"/>
        </w:rPr>
      </w:pPr>
      <w:r>
        <w:rPr>
          <w:rFonts w:ascii="Calibri" w:hAnsi="Calibri" w:cs="Arial"/>
          <w:sz w:val="24"/>
          <w:szCs w:val="24"/>
        </w:rPr>
        <w:t>Date:-</w:t>
      </w:r>
    </w:p>
    <w:p w:rsidR="007C30B0" w:rsidRPr="00E362C5" w:rsidRDefault="007C30B0" w:rsidP="007C30B0">
      <w:pPr>
        <w:pStyle w:val="BodyText2"/>
        <w:tabs>
          <w:tab w:val="right" w:pos="540"/>
          <w:tab w:val="left" w:pos="720"/>
        </w:tabs>
        <w:rPr>
          <w:rFonts w:ascii="Calibri" w:hAnsi="Calibri" w:cs="Arial"/>
          <w:sz w:val="24"/>
          <w:szCs w:val="24"/>
        </w:rPr>
      </w:pPr>
      <w:r w:rsidRPr="00E362C5">
        <w:rPr>
          <w:rFonts w:ascii="Calibri" w:hAnsi="Calibri" w:cs="Arial"/>
          <w:sz w:val="24"/>
          <w:szCs w:val="24"/>
        </w:rPr>
        <w:t>Review date:-</w:t>
      </w:r>
    </w:p>
    <w:p w:rsidR="007C30B0" w:rsidRPr="007C30B0" w:rsidRDefault="007C30B0" w:rsidP="007C30B0">
      <w:pPr>
        <w:tabs>
          <w:tab w:val="left" w:pos="567"/>
        </w:tabs>
        <w:rPr>
          <w:rFonts w:ascii="Calibri" w:hAnsi="Calibri" w:cs="Calibri"/>
          <w:sz w:val="22"/>
          <w:szCs w:val="22"/>
        </w:rPr>
      </w:pPr>
    </w:p>
    <w:p w:rsidR="00CB3F08" w:rsidRDefault="00CB3F08" w:rsidP="00282CE5">
      <w:pPr>
        <w:spacing w:after="0"/>
        <w:jc w:val="center"/>
        <w:rPr>
          <w:rFonts w:ascii="Calibri" w:hAnsi="Calibri"/>
          <w:b/>
          <w:sz w:val="36"/>
          <w:szCs w:val="36"/>
        </w:rPr>
        <w:sectPr w:rsidR="00CB3F08" w:rsidSect="00CB3F08">
          <w:pgSz w:w="11906" w:h="16838"/>
          <w:pgMar w:top="1440" w:right="1440" w:bottom="1440" w:left="1440" w:header="708" w:footer="708" w:gutter="0"/>
          <w:cols w:space="708"/>
          <w:docGrid w:linePitch="360"/>
        </w:sectPr>
      </w:pPr>
    </w:p>
    <w:p w:rsidR="007C30B0" w:rsidRPr="00E362C5" w:rsidRDefault="007C30B0" w:rsidP="00282CE5">
      <w:pPr>
        <w:spacing w:after="0"/>
        <w:jc w:val="center"/>
        <w:rPr>
          <w:rFonts w:ascii="Calibri" w:hAnsi="Calibri"/>
          <w:b/>
          <w:sz w:val="36"/>
          <w:szCs w:val="36"/>
        </w:rPr>
      </w:pPr>
      <w:r w:rsidRPr="00E362C5">
        <w:rPr>
          <w:rFonts w:ascii="Calibri" w:hAnsi="Calibri"/>
          <w:b/>
          <w:sz w:val="36"/>
          <w:szCs w:val="36"/>
        </w:rPr>
        <w:lastRenderedPageBreak/>
        <w:t>Goserelin / Leuprorelin</w:t>
      </w:r>
    </w:p>
    <w:p w:rsidR="007C30B0" w:rsidRPr="007C30B0" w:rsidRDefault="007C30B0" w:rsidP="00282CE5">
      <w:pPr>
        <w:spacing w:after="0"/>
        <w:rPr>
          <w:rFonts w:ascii="Calibri" w:hAnsi="Calibri" w:cs="Arial"/>
          <w:color w:val="000000"/>
          <w:szCs w:val="24"/>
        </w:rPr>
      </w:pPr>
      <w:r w:rsidRPr="007C30B0">
        <w:rPr>
          <w:rFonts w:ascii="Calibri" w:hAnsi="Calibri" w:cs="Arial"/>
          <w:color w:val="000000"/>
          <w:szCs w:val="24"/>
          <w:u w:val="single"/>
        </w:rPr>
        <w:t>Prescribing Agreement: For prescribing and supporting the administration of Goserelin / Leuprorelin for stable prostate cancer</w:t>
      </w:r>
      <w:r w:rsidRPr="007C30B0">
        <w:rPr>
          <w:rFonts w:ascii="Calibri" w:hAnsi="Calibri" w:cs="Arial"/>
          <w:color w:val="000000"/>
          <w:szCs w:val="24"/>
        </w:rPr>
        <w:t>.</w:t>
      </w:r>
    </w:p>
    <w:p w:rsidR="007C30B0" w:rsidRDefault="007C30B0" w:rsidP="00282CE5">
      <w:pPr>
        <w:spacing w:after="0" w:line="276" w:lineRule="auto"/>
        <w:rPr>
          <w:rFonts w:ascii="Calibri" w:hAnsi="Calibri" w:cs="Calibri"/>
          <w:b/>
          <w:bCs/>
          <w:sz w:val="22"/>
          <w:szCs w:val="22"/>
          <w:u w:val="single"/>
        </w:rPr>
      </w:pPr>
      <w:r w:rsidRPr="007C30B0">
        <w:rPr>
          <w:rFonts w:ascii="Calibri" w:hAnsi="Calibri" w:cs="Arial"/>
          <w:b/>
          <w:sz w:val="22"/>
          <w:szCs w:val="22"/>
        </w:rPr>
        <w:t>RESPONSIBILITIES and ROLES</w:t>
      </w:r>
      <w:r>
        <w:rPr>
          <w:rFonts w:ascii="Calibri" w:hAnsi="Calibri" w:cs="Calibri"/>
          <w:b/>
          <w:bCs/>
          <w:sz w:val="22"/>
          <w:szCs w:val="22"/>
          <w:u w:val="single"/>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tblGrid>
      <w:tr w:rsidR="007C30B0" w:rsidRPr="004D590E" w:rsidTr="007C30B0">
        <w:tc>
          <w:tcPr>
            <w:tcW w:w="10065" w:type="dxa"/>
          </w:tcPr>
          <w:p w:rsidR="007C30B0" w:rsidRPr="004D590E" w:rsidRDefault="007C30B0" w:rsidP="00282CE5">
            <w:pPr>
              <w:tabs>
                <w:tab w:val="left" w:pos="540"/>
              </w:tabs>
              <w:spacing w:after="0"/>
              <w:jc w:val="center"/>
              <w:rPr>
                <w:rFonts w:ascii="Calibri" w:hAnsi="Calibri" w:cs="Arial"/>
                <w:b/>
                <w:snapToGrid w:val="0"/>
                <w:szCs w:val="22"/>
                <w:lang w:eastAsia="en-US"/>
              </w:rPr>
            </w:pPr>
            <w:r w:rsidRPr="004D590E">
              <w:rPr>
                <w:rFonts w:ascii="Calibri" w:hAnsi="Calibri" w:cs="Arial"/>
                <w:b/>
                <w:snapToGrid w:val="0"/>
                <w:sz w:val="22"/>
                <w:szCs w:val="22"/>
                <w:lang w:eastAsia="en-US"/>
              </w:rPr>
              <w:t>Specialist responsibilities</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b/>
                <w:snapToGrid w:val="0"/>
                <w:szCs w:val="22"/>
                <w:lang w:eastAsia="en-US"/>
              </w:rPr>
            </w:pPr>
            <w:r w:rsidRPr="004D590E">
              <w:rPr>
                <w:rFonts w:ascii="Calibri" w:hAnsi="Calibri" w:cs="Arial"/>
                <w:sz w:val="22"/>
                <w:szCs w:val="22"/>
              </w:rPr>
              <w:t>Confirm diagnosis of prostatic cancer</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b/>
                <w:snapToGrid w:val="0"/>
                <w:szCs w:val="22"/>
                <w:lang w:eastAsia="en-US"/>
              </w:rPr>
            </w:pPr>
            <w:r w:rsidRPr="004D590E">
              <w:rPr>
                <w:rFonts w:ascii="Calibri" w:hAnsi="Calibri" w:cs="Arial"/>
                <w:sz w:val="22"/>
                <w:szCs w:val="22"/>
              </w:rPr>
              <w:t>Ensure all necessary tests are undertaken.</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b/>
                <w:snapToGrid w:val="0"/>
                <w:szCs w:val="22"/>
                <w:lang w:eastAsia="en-US"/>
              </w:rPr>
            </w:pPr>
            <w:r w:rsidRPr="004D590E">
              <w:rPr>
                <w:rFonts w:ascii="Calibri" w:hAnsi="Calibri" w:cs="Arial"/>
                <w:sz w:val="22"/>
                <w:szCs w:val="22"/>
              </w:rPr>
              <w:t>Provide patient with information about complying with therapy and about monitoring and reporting signs and symptoms of adverse effects.</w:t>
            </w:r>
          </w:p>
        </w:tc>
      </w:tr>
      <w:tr w:rsidR="007C30B0" w:rsidRPr="004D590E" w:rsidTr="007C30B0">
        <w:tc>
          <w:tcPr>
            <w:tcW w:w="10065" w:type="dxa"/>
          </w:tcPr>
          <w:p w:rsidR="007C30B0" w:rsidRPr="003235F5" w:rsidRDefault="003235F5" w:rsidP="003235F5">
            <w:pPr>
              <w:numPr>
                <w:ilvl w:val="0"/>
                <w:numId w:val="9"/>
              </w:numPr>
              <w:tabs>
                <w:tab w:val="left" w:pos="318"/>
              </w:tabs>
              <w:spacing w:after="0"/>
              <w:ind w:left="459" w:hanging="425"/>
              <w:rPr>
                <w:rFonts w:ascii="Calibri" w:hAnsi="Calibri" w:cs="Arial"/>
                <w:szCs w:val="22"/>
              </w:rPr>
            </w:pPr>
            <w:r w:rsidRPr="003235F5">
              <w:rPr>
                <w:rFonts w:ascii="Calibri" w:hAnsi="Calibri" w:cs="Arial"/>
                <w:snapToGrid w:val="0"/>
                <w:sz w:val="22"/>
                <w:szCs w:val="22"/>
                <w:lang w:eastAsia="en-US"/>
              </w:rPr>
              <w:t>Complete the “Transfer of Care” form and send to the patients GP</w:t>
            </w:r>
            <w:r>
              <w:rPr>
                <w:rFonts w:ascii="Calibri" w:hAnsi="Calibri" w:cs="Arial"/>
                <w:snapToGrid w:val="0"/>
                <w:sz w:val="22"/>
                <w:szCs w:val="22"/>
                <w:lang w:eastAsia="en-US"/>
              </w:rPr>
              <w:t>.</w:t>
            </w:r>
            <w:r w:rsidRPr="003235F5">
              <w:rPr>
                <w:rFonts w:ascii="Calibri" w:hAnsi="Calibri" w:cs="Arial"/>
                <w:snapToGrid w:val="0"/>
                <w:sz w:val="22"/>
                <w:szCs w:val="22"/>
                <w:lang w:eastAsia="en-US"/>
              </w:rPr>
              <w:t xml:space="preserve"> </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b/>
                <w:snapToGrid w:val="0"/>
                <w:szCs w:val="22"/>
                <w:lang w:eastAsia="en-US"/>
              </w:rPr>
            </w:pPr>
            <w:r w:rsidRPr="004D590E">
              <w:rPr>
                <w:rFonts w:ascii="Calibri" w:hAnsi="Calibri" w:cs="Arial"/>
                <w:sz w:val="22"/>
                <w:szCs w:val="22"/>
              </w:rPr>
              <w:t>Provide appropriate anti-androgen cover for patients to reduce risk of tumour flare</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b/>
                <w:snapToGrid w:val="0"/>
                <w:szCs w:val="22"/>
                <w:lang w:eastAsia="en-US"/>
              </w:rPr>
            </w:pPr>
            <w:r w:rsidRPr="004D590E">
              <w:rPr>
                <w:rFonts w:ascii="Calibri" w:hAnsi="Calibri" w:cs="Arial"/>
                <w:sz w:val="22"/>
                <w:szCs w:val="22"/>
              </w:rPr>
              <w:t>Administer the first injection of the GnRH analogue.</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b/>
                <w:snapToGrid w:val="0"/>
                <w:szCs w:val="22"/>
                <w:lang w:eastAsia="en-US"/>
              </w:rPr>
            </w:pPr>
            <w:r w:rsidRPr="004D590E">
              <w:rPr>
                <w:rFonts w:ascii="Calibri" w:hAnsi="Calibri" w:cs="Arial"/>
                <w:sz w:val="22"/>
                <w:szCs w:val="22"/>
              </w:rPr>
              <w:t>Assess the continued appropriateness of the treatment.</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szCs w:val="22"/>
              </w:rPr>
            </w:pPr>
            <w:r w:rsidRPr="004D590E">
              <w:rPr>
                <w:rFonts w:ascii="Calibri" w:hAnsi="Calibri" w:cs="Arial"/>
                <w:sz w:val="22"/>
                <w:szCs w:val="22"/>
              </w:rPr>
              <w:t>Review the patient's response to GnRH analogue and ensure written agreement with the patient’s GP around review timetable and monitoring.</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szCs w:val="22"/>
              </w:rPr>
            </w:pPr>
            <w:r w:rsidRPr="004D590E">
              <w:rPr>
                <w:rFonts w:ascii="Calibri" w:hAnsi="Calibri" w:cs="Arial"/>
                <w:snapToGrid w:val="0"/>
                <w:color w:val="000000"/>
                <w:sz w:val="22"/>
                <w:szCs w:val="22"/>
              </w:rPr>
              <w:t>Advise GP of PSA monitoring requirements.  Advise GP if any other monitoring is required, including parameter to be measured, frequency of monitoring and action to be taken if results fall outside acceptable range. .</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szCs w:val="22"/>
              </w:rPr>
            </w:pPr>
            <w:r w:rsidRPr="004D590E">
              <w:rPr>
                <w:rFonts w:ascii="Calibri" w:hAnsi="Calibri" w:cs="Arial"/>
                <w:snapToGrid w:val="0"/>
                <w:color w:val="000000"/>
                <w:sz w:val="22"/>
                <w:szCs w:val="22"/>
              </w:rPr>
              <w:t xml:space="preserve">Communicate promptly with the GP </w:t>
            </w:r>
            <w:r>
              <w:rPr>
                <w:rFonts w:ascii="Calibri" w:hAnsi="Calibri" w:cs="Arial"/>
                <w:snapToGrid w:val="0"/>
                <w:sz w:val="22"/>
                <w:szCs w:val="22"/>
              </w:rPr>
              <w:t xml:space="preserve">(ie within 10 working days) </w:t>
            </w:r>
            <w:r w:rsidRPr="004D590E">
              <w:rPr>
                <w:rFonts w:ascii="Calibri" w:hAnsi="Calibri" w:cs="Arial"/>
                <w:snapToGrid w:val="0"/>
                <w:color w:val="000000"/>
                <w:sz w:val="22"/>
                <w:szCs w:val="22"/>
              </w:rPr>
              <w:t>when treatment is changed or needs to be changed by the GP, any results of the monitoring undertaken, and assessment of adverse events.</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szCs w:val="22"/>
              </w:rPr>
            </w:pPr>
            <w:r w:rsidRPr="004D590E">
              <w:rPr>
                <w:rFonts w:ascii="Calibri" w:hAnsi="Calibri" w:cs="Arial"/>
                <w:snapToGrid w:val="0"/>
                <w:color w:val="000000"/>
                <w:sz w:val="22"/>
                <w:szCs w:val="22"/>
              </w:rPr>
              <w:t>Ensure that clear backup arrangements exist for GPs to obtain advice and support.</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szCs w:val="22"/>
              </w:rPr>
            </w:pPr>
            <w:r w:rsidRPr="004D590E">
              <w:rPr>
                <w:rFonts w:ascii="Calibri" w:hAnsi="Calibri" w:cs="Arial"/>
                <w:snapToGrid w:val="0"/>
                <w:color w:val="000000"/>
                <w:sz w:val="22"/>
                <w:szCs w:val="22"/>
              </w:rPr>
              <w:t>Have a mechanism in place to receive rapid referral of a patient from the GP in the event of deteriorating clinical condition.</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snapToGrid w:val="0"/>
                <w:color w:val="000000"/>
                <w:szCs w:val="22"/>
              </w:rPr>
            </w:pPr>
            <w:r w:rsidRPr="004D590E">
              <w:rPr>
                <w:rFonts w:ascii="Calibri" w:hAnsi="Calibri" w:cs="Arial"/>
                <w:sz w:val="22"/>
                <w:szCs w:val="22"/>
              </w:rPr>
              <w:t>Stop the treatment when no longer considered appropriate.</w:t>
            </w:r>
            <w:r w:rsidRPr="004D590E">
              <w:rPr>
                <w:rFonts w:ascii="Calibri" w:hAnsi="Calibri" w:cs="Arial"/>
                <w:snapToGrid w:val="0"/>
                <w:color w:val="000000"/>
                <w:sz w:val="22"/>
                <w:szCs w:val="22"/>
              </w:rPr>
              <w:t xml:space="preserve"> Advise GPs.</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szCs w:val="22"/>
              </w:rPr>
            </w:pPr>
            <w:r w:rsidRPr="004D590E">
              <w:rPr>
                <w:rFonts w:ascii="Calibri" w:hAnsi="Calibri" w:cs="Arial"/>
                <w:sz w:val="22"/>
                <w:szCs w:val="22"/>
              </w:rPr>
              <w:t>Report adverse events to the specialist and MHRA via yellow card</w:t>
            </w:r>
          </w:p>
        </w:tc>
      </w:tr>
      <w:tr w:rsidR="007C30B0" w:rsidRPr="004D590E" w:rsidTr="007C30B0">
        <w:tc>
          <w:tcPr>
            <w:tcW w:w="10065" w:type="dxa"/>
          </w:tcPr>
          <w:p w:rsidR="007C30B0" w:rsidRPr="004D590E" w:rsidRDefault="007C30B0" w:rsidP="00282CE5">
            <w:pPr>
              <w:numPr>
                <w:ilvl w:val="0"/>
                <w:numId w:val="9"/>
              </w:numPr>
              <w:tabs>
                <w:tab w:val="left" w:pos="318"/>
              </w:tabs>
              <w:spacing w:after="0"/>
              <w:ind w:left="459" w:hanging="425"/>
              <w:rPr>
                <w:rFonts w:ascii="Calibri" w:hAnsi="Calibri" w:cs="Arial"/>
                <w:szCs w:val="22"/>
              </w:rPr>
            </w:pPr>
            <w:r w:rsidRPr="004D590E">
              <w:rPr>
                <w:rFonts w:ascii="Calibri" w:hAnsi="Calibri" w:cs="Arial"/>
                <w:color w:val="000000"/>
                <w:sz w:val="22"/>
                <w:szCs w:val="22"/>
              </w:rPr>
              <w:t>(Joint responsibility with GP) Ensure the patient is aware of his responsibilities: to attend appointments; to have the recommended tests; to inform the GP if health problems arise; to be aware of side effects and report any relevant symptoms.</w:t>
            </w:r>
          </w:p>
        </w:tc>
      </w:tr>
    </w:tbl>
    <w:p w:rsidR="007C30B0" w:rsidRDefault="007C30B0" w:rsidP="00282CE5">
      <w:pPr>
        <w:spacing w:after="0" w:line="276" w:lineRule="auto"/>
        <w:rPr>
          <w:rFonts w:ascii="Calibri" w:hAnsi="Calibri" w:cs="Calibri"/>
          <w:b/>
          <w:bCs/>
          <w:sz w:val="22"/>
          <w:szCs w:val="22"/>
          <w:u w:val="single"/>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tblGrid>
      <w:tr w:rsidR="003235F5" w:rsidRPr="004D590E" w:rsidTr="003235F5">
        <w:tc>
          <w:tcPr>
            <w:tcW w:w="10065" w:type="dxa"/>
          </w:tcPr>
          <w:p w:rsidR="003235F5" w:rsidRPr="004D590E" w:rsidRDefault="003235F5" w:rsidP="00C80D58">
            <w:pPr>
              <w:tabs>
                <w:tab w:val="left" w:pos="540"/>
              </w:tabs>
              <w:jc w:val="center"/>
              <w:rPr>
                <w:rFonts w:ascii="Calibri" w:hAnsi="Calibri" w:cs="Arial"/>
                <w:b/>
                <w:snapToGrid w:val="0"/>
                <w:szCs w:val="22"/>
                <w:lang w:eastAsia="en-US"/>
              </w:rPr>
            </w:pPr>
            <w:r w:rsidRPr="004D590E">
              <w:rPr>
                <w:rFonts w:ascii="Calibri" w:hAnsi="Calibri" w:cs="Arial"/>
                <w:b/>
                <w:sz w:val="22"/>
                <w:szCs w:val="22"/>
              </w:rPr>
              <w:t>General Practitioner r</w:t>
            </w:r>
            <w:r w:rsidRPr="004D590E">
              <w:rPr>
                <w:rFonts w:ascii="Calibri" w:hAnsi="Calibri" w:cs="Arial"/>
                <w:b/>
                <w:snapToGrid w:val="0"/>
                <w:sz w:val="22"/>
                <w:szCs w:val="22"/>
                <w:lang w:eastAsia="en-US"/>
              </w:rPr>
              <w:t>esponsibilities</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b/>
                <w:szCs w:val="22"/>
              </w:rPr>
            </w:pPr>
            <w:r w:rsidRPr="004D590E">
              <w:rPr>
                <w:rFonts w:ascii="Calibri" w:hAnsi="Calibri" w:cs="Arial"/>
                <w:snapToGrid w:val="0"/>
                <w:color w:val="000000"/>
                <w:sz w:val="22"/>
                <w:szCs w:val="22"/>
              </w:rPr>
              <w:t>Reply to the request for shared care as soon as practicable.</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snapToGrid w:val="0"/>
                <w:color w:val="000000"/>
                <w:szCs w:val="22"/>
              </w:rPr>
            </w:pPr>
            <w:r w:rsidRPr="004D590E">
              <w:rPr>
                <w:rFonts w:ascii="Calibri" w:hAnsi="Calibri" w:cs="Arial"/>
                <w:snapToGrid w:val="0"/>
                <w:sz w:val="22"/>
                <w:szCs w:val="22"/>
                <w:lang w:eastAsia="en-US"/>
              </w:rPr>
              <w:t>If, clinically, the GP does not want to take on the ongoing care, please complete the declaration at the bottom of the “Transfer of Care” form and return to the requesting consultant as soon as possible.</w:t>
            </w:r>
          </w:p>
        </w:tc>
      </w:tr>
      <w:tr w:rsidR="003235F5" w:rsidRPr="004D590E" w:rsidTr="003235F5">
        <w:tc>
          <w:tcPr>
            <w:tcW w:w="10065" w:type="dxa"/>
          </w:tcPr>
          <w:p w:rsidR="003235F5" w:rsidRPr="003235F5" w:rsidRDefault="003235F5" w:rsidP="003235F5">
            <w:pPr>
              <w:numPr>
                <w:ilvl w:val="0"/>
                <w:numId w:val="10"/>
              </w:numPr>
              <w:tabs>
                <w:tab w:val="left" w:pos="318"/>
              </w:tabs>
              <w:spacing w:after="0"/>
              <w:ind w:left="318" w:hanging="318"/>
              <w:rPr>
                <w:rFonts w:ascii="Calibri" w:hAnsi="Calibri" w:cs="Arial"/>
                <w:snapToGrid w:val="0"/>
                <w:szCs w:val="22"/>
                <w:lang w:eastAsia="en-US"/>
              </w:rPr>
            </w:pPr>
            <w:r w:rsidRPr="003235F5">
              <w:rPr>
                <w:rFonts w:ascii="Calibri" w:hAnsi="Calibri" w:cs="Arial"/>
                <w:snapToGrid w:val="0"/>
                <w:sz w:val="22"/>
                <w:szCs w:val="22"/>
                <w:lang w:eastAsia="en-US"/>
              </w:rPr>
              <w:t>If accepting the patients care, please use the “Transfer of Care” form and individual management plan to support the patients care in primary care.</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snapToGrid w:val="0"/>
                <w:color w:val="000000"/>
                <w:szCs w:val="22"/>
              </w:rPr>
            </w:pPr>
            <w:r w:rsidRPr="004D590E">
              <w:rPr>
                <w:rFonts w:ascii="Calibri" w:hAnsi="Calibri" w:cs="Arial"/>
                <w:snapToGrid w:val="0"/>
                <w:color w:val="000000"/>
                <w:sz w:val="22"/>
                <w:szCs w:val="22"/>
              </w:rPr>
              <w:t xml:space="preserve">Prescribe and administer </w:t>
            </w:r>
            <w:r w:rsidRPr="004D590E">
              <w:rPr>
                <w:rFonts w:ascii="Calibri" w:hAnsi="Calibri" w:cs="Arial"/>
                <w:sz w:val="22"/>
                <w:szCs w:val="22"/>
              </w:rPr>
              <w:t>GnRH analogue</w:t>
            </w:r>
            <w:r w:rsidRPr="004D590E">
              <w:rPr>
                <w:rFonts w:ascii="Calibri" w:hAnsi="Calibri" w:cs="Arial"/>
                <w:snapToGrid w:val="0"/>
                <w:color w:val="000000"/>
                <w:sz w:val="22"/>
                <w:szCs w:val="22"/>
              </w:rPr>
              <w:t xml:space="preserve"> at the dose recommended.</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b/>
                <w:szCs w:val="22"/>
              </w:rPr>
            </w:pPr>
            <w:r w:rsidRPr="004D590E">
              <w:rPr>
                <w:rFonts w:ascii="Calibri" w:hAnsi="Calibri" w:cs="Arial"/>
                <w:snapToGrid w:val="0"/>
                <w:color w:val="000000"/>
                <w:sz w:val="22"/>
                <w:szCs w:val="22"/>
              </w:rPr>
              <w:t>Adjust the dose as advised by the specialist.</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b/>
                <w:szCs w:val="22"/>
              </w:rPr>
            </w:pPr>
            <w:r w:rsidRPr="004D590E">
              <w:rPr>
                <w:rFonts w:ascii="Calibri" w:hAnsi="Calibri" w:cs="Arial"/>
                <w:sz w:val="22"/>
                <w:szCs w:val="22"/>
              </w:rPr>
              <w:t>Monitoring the patient’s overall health and well-being.</w:t>
            </w:r>
            <w:r w:rsidRPr="004D590E">
              <w:rPr>
                <w:rFonts w:ascii="Calibri" w:hAnsi="Calibri" w:cs="Arial"/>
                <w:snapToGrid w:val="0"/>
                <w:sz w:val="22"/>
                <w:szCs w:val="22"/>
              </w:rPr>
              <w:t xml:space="preserve">  Monitor any parameters considered necessary, if agreed with the specialist to do so.</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b/>
                <w:szCs w:val="22"/>
              </w:rPr>
            </w:pPr>
            <w:r w:rsidRPr="004D590E">
              <w:rPr>
                <w:rFonts w:ascii="Calibri" w:hAnsi="Calibri" w:cs="Arial"/>
                <w:sz w:val="22"/>
                <w:szCs w:val="22"/>
              </w:rPr>
              <w:t>Report any disease progression to the specialist.</w:t>
            </w:r>
            <w:r w:rsidRPr="004D590E">
              <w:rPr>
                <w:rFonts w:ascii="Calibri" w:hAnsi="Calibri" w:cs="Arial"/>
                <w:snapToGrid w:val="0"/>
                <w:color w:val="000000"/>
                <w:sz w:val="22"/>
                <w:szCs w:val="22"/>
              </w:rPr>
              <w:t xml:space="preserve">  Refer patient to specialist if his condition deteriorates.</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szCs w:val="22"/>
              </w:rPr>
            </w:pPr>
            <w:r w:rsidRPr="004D590E">
              <w:rPr>
                <w:rFonts w:ascii="Calibri" w:hAnsi="Calibri" w:cs="Arial"/>
                <w:snapToGrid w:val="0"/>
                <w:color w:val="000000"/>
                <w:sz w:val="22"/>
                <w:szCs w:val="22"/>
              </w:rPr>
              <w:t>Stop treatment on the advice of the specialist or immediately if an urgent need to stop treatment arises.</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b/>
                <w:szCs w:val="22"/>
              </w:rPr>
            </w:pPr>
            <w:r w:rsidRPr="004D590E">
              <w:rPr>
                <w:rFonts w:ascii="Calibri" w:hAnsi="Calibri" w:cs="Arial"/>
                <w:sz w:val="22"/>
                <w:szCs w:val="22"/>
              </w:rPr>
              <w:t>Confirm patients understanding about compliance with therapy and reporting of adverse effects</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szCs w:val="22"/>
              </w:rPr>
            </w:pPr>
            <w:r w:rsidRPr="004D590E">
              <w:rPr>
                <w:rFonts w:ascii="Calibri" w:hAnsi="Calibri" w:cs="Arial"/>
                <w:sz w:val="22"/>
                <w:szCs w:val="22"/>
              </w:rPr>
              <w:t>Report adverse events to the specialist and MHRA via yellow card</w:t>
            </w:r>
          </w:p>
        </w:tc>
      </w:tr>
      <w:tr w:rsidR="003235F5" w:rsidRPr="004D590E" w:rsidTr="003235F5">
        <w:tc>
          <w:tcPr>
            <w:tcW w:w="10065" w:type="dxa"/>
          </w:tcPr>
          <w:p w:rsidR="003235F5" w:rsidRPr="004D590E" w:rsidRDefault="003235F5" w:rsidP="003235F5">
            <w:pPr>
              <w:numPr>
                <w:ilvl w:val="0"/>
                <w:numId w:val="10"/>
              </w:numPr>
              <w:tabs>
                <w:tab w:val="left" w:pos="318"/>
              </w:tabs>
              <w:spacing w:after="0"/>
              <w:ind w:left="318" w:hanging="318"/>
              <w:rPr>
                <w:rFonts w:ascii="Calibri" w:hAnsi="Calibri" w:cs="Arial"/>
                <w:szCs w:val="22"/>
              </w:rPr>
            </w:pPr>
            <w:r w:rsidRPr="004D590E">
              <w:rPr>
                <w:rFonts w:ascii="Calibri" w:hAnsi="Calibri" w:cs="Arial"/>
                <w:color w:val="000000"/>
                <w:sz w:val="22"/>
                <w:szCs w:val="22"/>
              </w:rPr>
              <w:t>(Joint responsibility with specialist) Ensure the patient is aware of his responsibilities: to attend appointments; to have the recommended tests; to inform the GP if health problems arise; to be aware of side effects and report any relevant symptoms.</w:t>
            </w:r>
          </w:p>
        </w:tc>
      </w:tr>
    </w:tbl>
    <w:p w:rsidR="003235F5" w:rsidRDefault="003235F5" w:rsidP="00282CE5">
      <w:pPr>
        <w:spacing w:after="0" w:line="276" w:lineRule="auto"/>
        <w:rPr>
          <w:rFonts w:ascii="Calibri" w:hAnsi="Calibri" w:cs="Calibri"/>
          <w:b/>
          <w:bCs/>
          <w:sz w:val="22"/>
          <w:szCs w:val="22"/>
          <w:u w:val="single"/>
        </w:rPr>
      </w:pPr>
    </w:p>
    <w:p w:rsidR="007C30B0" w:rsidRDefault="007C30B0" w:rsidP="00282CE5">
      <w:pPr>
        <w:pStyle w:val="mtrachead3"/>
        <w:keepNext w:val="0"/>
        <w:jc w:val="both"/>
        <w:outlineLvl w:val="9"/>
        <w:rPr>
          <w:rFonts w:ascii="Calibri" w:hAnsi="Calibri" w:cs="Arial"/>
          <w:snapToGrid/>
          <w:sz w:val="10"/>
          <w:szCs w:val="10"/>
        </w:rPr>
      </w:pPr>
    </w:p>
    <w:p w:rsidR="003235F5" w:rsidRDefault="003235F5" w:rsidP="00282CE5">
      <w:pPr>
        <w:pStyle w:val="mtrachead3"/>
        <w:keepNext w:val="0"/>
        <w:jc w:val="both"/>
        <w:outlineLvl w:val="9"/>
        <w:rPr>
          <w:rFonts w:ascii="Calibri" w:hAnsi="Calibri" w:cs="Arial"/>
          <w:snapToGrid/>
          <w:sz w:val="10"/>
          <w:szCs w:val="1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5"/>
      </w:tblGrid>
      <w:tr w:rsidR="007C30B0" w:rsidRPr="004D590E" w:rsidTr="007C30B0">
        <w:tc>
          <w:tcPr>
            <w:tcW w:w="10065" w:type="dxa"/>
          </w:tcPr>
          <w:p w:rsidR="007C30B0" w:rsidRPr="004D590E" w:rsidRDefault="007C30B0" w:rsidP="00282CE5">
            <w:pPr>
              <w:tabs>
                <w:tab w:val="left" w:pos="540"/>
              </w:tabs>
              <w:spacing w:after="0"/>
              <w:jc w:val="center"/>
              <w:rPr>
                <w:rFonts w:ascii="Calibri" w:hAnsi="Calibri" w:cs="Arial"/>
                <w:b/>
                <w:snapToGrid w:val="0"/>
                <w:szCs w:val="22"/>
                <w:lang w:eastAsia="en-US"/>
              </w:rPr>
            </w:pPr>
            <w:r w:rsidRPr="004D590E">
              <w:rPr>
                <w:rFonts w:ascii="Calibri" w:hAnsi="Calibri" w:cs="Arial"/>
                <w:b/>
                <w:sz w:val="22"/>
                <w:szCs w:val="22"/>
              </w:rPr>
              <w:t>Patient's r</w:t>
            </w:r>
            <w:r w:rsidRPr="004D590E">
              <w:rPr>
                <w:rFonts w:ascii="Calibri" w:hAnsi="Calibri" w:cs="Arial"/>
                <w:b/>
                <w:snapToGrid w:val="0"/>
                <w:sz w:val="22"/>
                <w:szCs w:val="22"/>
                <w:lang w:eastAsia="en-US"/>
              </w:rPr>
              <w:t>ole</w:t>
            </w:r>
          </w:p>
        </w:tc>
      </w:tr>
      <w:tr w:rsidR="007C30B0" w:rsidRPr="004D590E" w:rsidTr="007C30B0">
        <w:tc>
          <w:tcPr>
            <w:tcW w:w="10065" w:type="dxa"/>
          </w:tcPr>
          <w:p w:rsidR="007C30B0" w:rsidRPr="004D590E" w:rsidRDefault="007C30B0" w:rsidP="00282CE5">
            <w:pPr>
              <w:numPr>
                <w:ilvl w:val="0"/>
                <w:numId w:val="11"/>
              </w:numPr>
              <w:spacing w:before="20" w:after="0"/>
              <w:ind w:left="318" w:hanging="318"/>
              <w:jc w:val="both"/>
              <w:rPr>
                <w:rFonts w:ascii="Calibri" w:hAnsi="Calibri" w:cs="Arial"/>
                <w:szCs w:val="22"/>
              </w:rPr>
            </w:pPr>
            <w:r w:rsidRPr="004D590E">
              <w:rPr>
                <w:rFonts w:ascii="Calibri" w:hAnsi="Calibri" w:cs="Arial"/>
                <w:sz w:val="22"/>
                <w:szCs w:val="22"/>
              </w:rPr>
              <w:t>Report to the specialist or GP if he does not have a clear understanding of the treatment.</w:t>
            </w:r>
          </w:p>
        </w:tc>
      </w:tr>
      <w:tr w:rsidR="007C30B0" w:rsidRPr="004D590E" w:rsidTr="007C30B0">
        <w:tc>
          <w:tcPr>
            <w:tcW w:w="10065" w:type="dxa"/>
          </w:tcPr>
          <w:p w:rsidR="007C30B0" w:rsidRPr="004D590E" w:rsidRDefault="007C30B0" w:rsidP="00282CE5">
            <w:pPr>
              <w:numPr>
                <w:ilvl w:val="0"/>
                <w:numId w:val="11"/>
              </w:numPr>
              <w:spacing w:before="20" w:after="0"/>
              <w:ind w:left="318" w:hanging="318"/>
              <w:jc w:val="both"/>
              <w:rPr>
                <w:rFonts w:ascii="Calibri" w:hAnsi="Calibri" w:cs="Arial"/>
                <w:szCs w:val="22"/>
              </w:rPr>
            </w:pPr>
            <w:r w:rsidRPr="004D590E">
              <w:rPr>
                <w:rFonts w:ascii="Calibri" w:hAnsi="Calibri" w:cs="Arial"/>
                <w:sz w:val="22"/>
                <w:szCs w:val="22"/>
              </w:rPr>
              <w:t>Share any concerns in relation to treatment with GnRH analogue.</w:t>
            </w:r>
          </w:p>
        </w:tc>
      </w:tr>
      <w:tr w:rsidR="007C30B0" w:rsidRPr="004D590E" w:rsidTr="007C30B0">
        <w:tc>
          <w:tcPr>
            <w:tcW w:w="10065" w:type="dxa"/>
            <w:tcBorders>
              <w:bottom w:val="single" w:sz="4" w:space="0" w:color="auto"/>
            </w:tcBorders>
          </w:tcPr>
          <w:p w:rsidR="007C30B0" w:rsidRPr="004D590E" w:rsidRDefault="007C30B0" w:rsidP="00282CE5">
            <w:pPr>
              <w:numPr>
                <w:ilvl w:val="0"/>
                <w:numId w:val="11"/>
              </w:numPr>
              <w:spacing w:before="20" w:after="0"/>
              <w:ind w:left="318" w:hanging="318"/>
              <w:jc w:val="both"/>
              <w:rPr>
                <w:rFonts w:ascii="Calibri" w:hAnsi="Calibri" w:cs="Arial"/>
                <w:szCs w:val="22"/>
              </w:rPr>
            </w:pPr>
            <w:r w:rsidRPr="004D590E">
              <w:rPr>
                <w:rFonts w:ascii="Calibri" w:hAnsi="Calibri" w:cs="Arial"/>
                <w:sz w:val="22"/>
                <w:szCs w:val="22"/>
              </w:rPr>
              <w:t>Report any adverse effects to the specialist or GP. Consider making direct report to MHRA via yellow card.</w:t>
            </w:r>
          </w:p>
        </w:tc>
      </w:tr>
    </w:tbl>
    <w:p w:rsidR="007C30B0" w:rsidRPr="004D590E" w:rsidRDefault="007C30B0" w:rsidP="00282CE5">
      <w:pPr>
        <w:spacing w:after="0"/>
        <w:jc w:val="both"/>
        <w:rPr>
          <w:rFonts w:ascii="Calibri" w:hAnsi="Calibri" w:cs="Arial"/>
          <w:sz w:val="10"/>
          <w:szCs w:val="10"/>
        </w:rPr>
      </w:pPr>
    </w:p>
    <w:p w:rsidR="007C30B0" w:rsidRPr="004D590E" w:rsidRDefault="007C30B0" w:rsidP="00282CE5">
      <w:pPr>
        <w:pStyle w:val="mtrachead3"/>
        <w:jc w:val="both"/>
        <w:rPr>
          <w:rFonts w:ascii="Calibri" w:hAnsi="Calibri" w:cs="Arial"/>
          <w:snapToGrid/>
        </w:rPr>
      </w:pPr>
      <w:r w:rsidRPr="004D590E">
        <w:rPr>
          <w:rFonts w:ascii="Calibri" w:hAnsi="Calibri" w:cs="Arial"/>
          <w:snapToGrid/>
        </w:rPr>
        <w:t>BACK-UP ADVICE AND SUPPORT</w:t>
      </w:r>
    </w:p>
    <w:tbl>
      <w:tblPr>
        <w:tblW w:w="1006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9"/>
        <w:gridCol w:w="2410"/>
        <w:gridCol w:w="850"/>
        <w:gridCol w:w="1559"/>
        <w:gridCol w:w="2977"/>
      </w:tblGrid>
      <w:tr w:rsidR="007C30B0" w:rsidRPr="00282CE5" w:rsidTr="007C30B0">
        <w:trPr>
          <w:cantSplit/>
        </w:trPr>
        <w:tc>
          <w:tcPr>
            <w:tcW w:w="2269" w:type="dxa"/>
          </w:tcPr>
          <w:p w:rsidR="007C30B0" w:rsidRPr="00282CE5" w:rsidRDefault="007C30B0" w:rsidP="00282CE5">
            <w:pPr>
              <w:spacing w:after="0"/>
              <w:jc w:val="both"/>
              <w:rPr>
                <w:rFonts w:ascii="Calibri" w:hAnsi="Calibri" w:cs="Arial"/>
                <w:szCs w:val="22"/>
              </w:rPr>
            </w:pPr>
            <w:r w:rsidRPr="00282CE5">
              <w:rPr>
                <w:rFonts w:ascii="Calibri" w:hAnsi="Calibri" w:cs="Arial"/>
                <w:sz w:val="22"/>
                <w:szCs w:val="22"/>
              </w:rPr>
              <w:t>Contact details</w:t>
            </w:r>
          </w:p>
        </w:tc>
        <w:tc>
          <w:tcPr>
            <w:tcW w:w="2410" w:type="dxa"/>
          </w:tcPr>
          <w:p w:rsidR="007C30B0" w:rsidRPr="00282CE5" w:rsidRDefault="007C30B0" w:rsidP="00282CE5">
            <w:pPr>
              <w:spacing w:after="0"/>
              <w:jc w:val="both"/>
              <w:rPr>
                <w:rFonts w:ascii="Calibri" w:hAnsi="Calibri" w:cs="Arial"/>
                <w:szCs w:val="22"/>
              </w:rPr>
            </w:pPr>
            <w:r w:rsidRPr="00282CE5">
              <w:rPr>
                <w:rFonts w:ascii="Calibri" w:hAnsi="Calibri" w:cs="Arial"/>
                <w:sz w:val="22"/>
                <w:szCs w:val="22"/>
              </w:rPr>
              <w:t>Telephone No.</w:t>
            </w:r>
          </w:p>
        </w:tc>
        <w:tc>
          <w:tcPr>
            <w:tcW w:w="850" w:type="dxa"/>
          </w:tcPr>
          <w:p w:rsidR="007C30B0" w:rsidRPr="00282CE5" w:rsidRDefault="007C30B0" w:rsidP="00282CE5">
            <w:pPr>
              <w:spacing w:after="0"/>
              <w:jc w:val="both"/>
              <w:rPr>
                <w:rFonts w:ascii="Calibri" w:hAnsi="Calibri" w:cs="Arial"/>
                <w:szCs w:val="22"/>
              </w:rPr>
            </w:pPr>
            <w:r w:rsidRPr="00282CE5">
              <w:rPr>
                <w:rFonts w:ascii="Calibri" w:hAnsi="Calibri" w:cs="Arial"/>
                <w:sz w:val="22"/>
                <w:szCs w:val="22"/>
              </w:rPr>
              <w:t>Bleep:</w:t>
            </w:r>
          </w:p>
        </w:tc>
        <w:tc>
          <w:tcPr>
            <w:tcW w:w="1559" w:type="dxa"/>
          </w:tcPr>
          <w:p w:rsidR="007C30B0" w:rsidRPr="00282CE5" w:rsidRDefault="007C30B0" w:rsidP="00282CE5">
            <w:pPr>
              <w:spacing w:after="0"/>
              <w:jc w:val="both"/>
              <w:rPr>
                <w:rFonts w:ascii="Calibri" w:hAnsi="Calibri" w:cs="Arial"/>
                <w:szCs w:val="22"/>
              </w:rPr>
            </w:pPr>
            <w:r w:rsidRPr="00282CE5">
              <w:rPr>
                <w:rFonts w:ascii="Calibri" w:hAnsi="Calibri" w:cs="Arial"/>
                <w:sz w:val="22"/>
                <w:szCs w:val="22"/>
              </w:rPr>
              <w:t>Fax:</w:t>
            </w:r>
          </w:p>
        </w:tc>
        <w:tc>
          <w:tcPr>
            <w:tcW w:w="2977" w:type="dxa"/>
          </w:tcPr>
          <w:p w:rsidR="007C30B0" w:rsidRPr="00282CE5" w:rsidRDefault="007C30B0" w:rsidP="00282CE5">
            <w:pPr>
              <w:spacing w:after="0"/>
              <w:jc w:val="both"/>
              <w:rPr>
                <w:rFonts w:ascii="Calibri" w:hAnsi="Calibri" w:cs="Arial"/>
                <w:szCs w:val="22"/>
              </w:rPr>
            </w:pPr>
            <w:r w:rsidRPr="00282CE5">
              <w:rPr>
                <w:rFonts w:ascii="Calibri" w:hAnsi="Calibri" w:cs="Arial"/>
                <w:sz w:val="22"/>
                <w:szCs w:val="22"/>
              </w:rPr>
              <w:t>Email address:</w:t>
            </w:r>
          </w:p>
        </w:tc>
      </w:tr>
      <w:tr w:rsidR="007C30B0" w:rsidRPr="00282CE5" w:rsidTr="007C30B0">
        <w:trPr>
          <w:cantSplit/>
        </w:trPr>
        <w:tc>
          <w:tcPr>
            <w:tcW w:w="2269" w:type="dxa"/>
          </w:tcPr>
          <w:p w:rsidR="007C30B0" w:rsidRPr="00282CE5" w:rsidRDefault="007C30B0" w:rsidP="00282CE5">
            <w:pPr>
              <w:pStyle w:val="mtrachead3"/>
              <w:keepNext w:val="0"/>
              <w:rPr>
                <w:rFonts w:ascii="Calibri" w:hAnsi="Calibri" w:cs="Arial"/>
                <w:snapToGrid/>
                <w:sz w:val="22"/>
                <w:szCs w:val="22"/>
              </w:rPr>
            </w:pPr>
            <w:r w:rsidRPr="00282CE5">
              <w:rPr>
                <w:rFonts w:ascii="Calibri" w:hAnsi="Calibri" w:cs="Arial"/>
                <w:snapToGrid/>
                <w:sz w:val="22"/>
                <w:szCs w:val="22"/>
              </w:rPr>
              <w:t>Specialist:</w:t>
            </w:r>
          </w:p>
        </w:tc>
        <w:tc>
          <w:tcPr>
            <w:tcW w:w="2410" w:type="dxa"/>
          </w:tcPr>
          <w:p w:rsidR="007C30B0" w:rsidRPr="00282CE5" w:rsidRDefault="007C30B0" w:rsidP="00282CE5">
            <w:pPr>
              <w:spacing w:after="0"/>
              <w:jc w:val="both"/>
              <w:rPr>
                <w:rFonts w:ascii="Calibri" w:hAnsi="Calibri" w:cs="Arial"/>
                <w:szCs w:val="22"/>
              </w:rPr>
            </w:pPr>
          </w:p>
        </w:tc>
        <w:tc>
          <w:tcPr>
            <w:tcW w:w="850" w:type="dxa"/>
          </w:tcPr>
          <w:p w:rsidR="007C30B0" w:rsidRPr="00282CE5" w:rsidRDefault="007C30B0" w:rsidP="00282CE5">
            <w:pPr>
              <w:spacing w:after="0"/>
              <w:jc w:val="both"/>
              <w:rPr>
                <w:rFonts w:ascii="Calibri" w:hAnsi="Calibri" w:cs="Arial"/>
                <w:szCs w:val="22"/>
              </w:rPr>
            </w:pPr>
          </w:p>
        </w:tc>
        <w:tc>
          <w:tcPr>
            <w:tcW w:w="1559" w:type="dxa"/>
          </w:tcPr>
          <w:p w:rsidR="007C30B0" w:rsidRPr="00282CE5" w:rsidRDefault="007C30B0" w:rsidP="00282CE5">
            <w:pPr>
              <w:spacing w:after="0"/>
              <w:jc w:val="both"/>
              <w:rPr>
                <w:rFonts w:ascii="Calibri" w:hAnsi="Calibri" w:cs="Arial"/>
                <w:szCs w:val="22"/>
              </w:rPr>
            </w:pPr>
          </w:p>
        </w:tc>
        <w:tc>
          <w:tcPr>
            <w:tcW w:w="2977" w:type="dxa"/>
          </w:tcPr>
          <w:p w:rsidR="007C30B0" w:rsidRPr="00282CE5" w:rsidRDefault="007C30B0" w:rsidP="00282CE5">
            <w:pPr>
              <w:spacing w:after="0"/>
              <w:jc w:val="both"/>
              <w:rPr>
                <w:rFonts w:ascii="Calibri" w:hAnsi="Calibri" w:cs="Arial"/>
                <w:szCs w:val="22"/>
              </w:rPr>
            </w:pPr>
          </w:p>
        </w:tc>
      </w:tr>
      <w:tr w:rsidR="007C30B0" w:rsidRPr="00282CE5" w:rsidTr="007C30B0">
        <w:trPr>
          <w:cantSplit/>
        </w:trPr>
        <w:tc>
          <w:tcPr>
            <w:tcW w:w="2269" w:type="dxa"/>
          </w:tcPr>
          <w:p w:rsidR="007C30B0" w:rsidRPr="00282CE5" w:rsidRDefault="007C30B0" w:rsidP="00282CE5">
            <w:pPr>
              <w:spacing w:after="0"/>
              <w:rPr>
                <w:rFonts w:ascii="Calibri" w:hAnsi="Calibri" w:cs="Arial"/>
                <w:b/>
                <w:szCs w:val="22"/>
              </w:rPr>
            </w:pPr>
            <w:r w:rsidRPr="00282CE5">
              <w:rPr>
                <w:rFonts w:ascii="Calibri" w:hAnsi="Calibri" w:cs="Arial"/>
                <w:b/>
                <w:sz w:val="22"/>
                <w:szCs w:val="22"/>
              </w:rPr>
              <w:t>Hospital Pharmacy Dept</w:t>
            </w:r>
          </w:p>
        </w:tc>
        <w:tc>
          <w:tcPr>
            <w:tcW w:w="2410" w:type="dxa"/>
          </w:tcPr>
          <w:p w:rsidR="007C30B0" w:rsidRPr="00282CE5" w:rsidRDefault="007C30B0" w:rsidP="00282CE5">
            <w:pPr>
              <w:spacing w:after="0"/>
              <w:jc w:val="both"/>
              <w:rPr>
                <w:rFonts w:ascii="Calibri" w:hAnsi="Calibri" w:cs="Arial"/>
                <w:szCs w:val="22"/>
              </w:rPr>
            </w:pPr>
          </w:p>
        </w:tc>
        <w:tc>
          <w:tcPr>
            <w:tcW w:w="850" w:type="dxa"/>
          </w:tcPr>
          <w:p w:rsidR="007C30B0" w:rsidRPr="00282CE5" w:rsidRDefault="007C30B0" w:rsidP="00282CE5">
            <w:pPr>
              <w:spacing w:after="0"/>
              <w:jc w:val="both"/>
              <w:rPr>
                <w:rFonts w:ascii="Calibri" w:hAnsi="Calibri" w:cs="Arial"/>
                <w:szCs w:val="22"/>
              </w:rPr>
            </w:pPr>
          </w:p>
        </w:tc>
        <w:tc>
          <w:tcPr>
            <w:tcW w:w="1559" w:type="dxa"/>
          </w:tcPr>
          <w:p w:rsidR="007C30B0" w:rsidRPr="00282CE5" w:rsidRDefault="007C30B0" w:rsidP="00282CE5">
            <w:pPr>
              <w:spacing w:after="0"/>
              <w:jc w:val="both"/>
              <w:rPr>
                <w:rFonts w:ascii="Calibri" w:hAnsi="Calibri" w:cs="Arial"/>
                <w:szCs w:val="22"/>
              </w:rPr>
            </w:pPr>
          </w:p>
        </w:tc>
        <w:tc>
          <w:tcPr>
            <w:tcW w:w="2977" w:type="dxa"/>
          </w:tcPr>
          <w:p w:rsidR="007C30B0" w:rsidRPr="00282CE5" w:rsidRDefault="007C30B0" w:rsidP="00282CE5">
            <w:pPr>
              <w:spacing w:after="0"/>
              <w:jc w:val="both"/>
              <w:rPr>
                <w:rFonts w:ascii="Calibri" w:hAnsi="Calibri" w:cs="Arial"/>
                <w:szCs w:val="22"/>
              </w:rPr>
            </w:pPr>
          </w:p>
        </w:tc>
      </w:tr>
      <w:tr w:rsidR="007C30B0" w:rsidRPr="00282CE5" w:rsidTr="007C30B0">
        <w:trPr>
          <w:cantSplit/>
        </w:trPr>
        <w:tc>
          <w:tcPr>
            <w:tcW w:w="2269" w:type="dxa"/>
          </w:tcPr>
          <w:p w:rsidR="007C30B0" w:rsidRPr="00282CE5" w:rsidRDefault="007C30B0" w:rsidP="00282CE5">
            <w:pPr>
              <w:spacing w:after="0"/>
              <w:rPr>
                <w:rFonts w:ascii="Calibri" w:hAnsi="Calibri" w:cs="Arial"/>
                <w:b/>
                <w:szCs w:val="22"/>
              </w:rPr>
            </w:pPr>
            <w:r w:rsidRPr="00282CE5">
              <w:rPr>
                <w:rFonts w:ascii="Calibri" w:hAnsi="Calibri" w:cs="Arial"/>
                <w:b/>
                <w:sz w:val="22"/>
                <w:szCs w:val="22"/>
              </w:rPr>
              <w:t>Other:</w:t>
            </w:r>
          </w:p>
        </w:tc>
        <w:tc>
          <w:tcPr>
            <w:tcW w:w="2410" w:type="dxa"/>
          </w:tcPr>
          <w:p w:rsidR="007C30B0" w:rsidRPr="00282CE5" w:rsidRDefault="007C30B0" w:rsidP="00282CE5">
            <w:pPr>
              <w:spacing w:after="0"/>
              <w:jc w:val="both"/>
              <w:rPr>
                <w:rFonts w:ascii="Calibri" w:hAnsi="Calibri" w:cs="Arial"/>
                <w:szCs w:val="22"/>
              </w:rPr>
            </w:pPr>
          </w:p>
        </w:tc>
        <w:tc>
          <w:tcPr>
            <w:tcW w:w="850" w:type="dxa"/>
          </w:tcPr>
          <w:p w:rsidR="007C30B0" w:rsidRPr="00282CE5" w:rsidRDefault="007C30B0" w:rsidP="00282CE5">
            <w:pPr>
              <w:spacing w:after="0"/>
              <w:jc w:val="both"/>
              <w:rPr>
                <w:rFonts w:ascii="Calibri" w:hAnsi="Calibri" w:cs="Arial"/>
                <w:szCs w:val="22"/>
              </w:rPr>
            </w:pPr>
          </w:p>
        </w:tc>
        <w:tc>
          <w:tcPr>
            <w:tcW w:w="1559" w:type="dxa"/>
          </w:tcPr>
          <w:p w:rsidR="007C30B0" w:rsidRPr="00282CE5" w:rsidRDefault="007C30B0" w:rsidP="00282CE5">
            <w:pPr>
              <w:spacing w:after="0"/>
              <w:jc w:val="both"/>
              <w:rPr>
                <w:rFonts w:ascii="Calibri" w:hAnsi="Calibri" w:cs="Arial"/>
                <w:szCs w:val="22"/>
              </w:rPr>
            </w:pPr>
          </w:p>
        </w:tc>
        <w:tc>
          <w:tcPr>
            <w:tcW w:w="2977" w:type="dxa"/>
          </w:tcPr>
          <w:p w:rsidR="007C30B0" w:rsidRPr="00282CE5" w:rsidRDefault="007C30B0" w:rsidP="00282CE5">
            <w:pPr>
              <w:spacing w:after="0"/>
              <w:jc w:val="both"/>
              <w:rPr>
                <w:rFonts w:ascii="Calibri" w:hAnsi="Calibri" w:cs="Arial"/>
                <w:szCs w:val="22"/>
              </w:rPr>
            </w:pPr>
          </w:p>
        </w:tc>
      </w:tr>
    </w:tbl>
    <w:p w:rsidR="007C30B0" w:rsidRDefault="007C30B0" w:rsidP="00282CE5">
      <w:pPr>
        <w:spacing w:after="0" w:line="276" w:lineRule="auto"/>
        <w:rPr>
          <w:rFonts w:ascii="Calibri" w:hAnsi="Calibri" w:cs="Calibri"/>
          <w:b/>
          <w:bCs/>
          <w:sz w:val="22"/>
          <w:szCs w:val="22"/>
          <w:u w:val="single"/>
        </w:rPr>
      </w:pPr>
    </w:p>
    <w:p w:rsidR="00282CE5" w:rsidRDefault="00282CE5">
      <w:pPr>
        <w:spacing w:line="276" w:lineRule="auto"/>
        <w:rPr>
          <w:rFonts w:ascii="Calibri" w:hAnsi="Calibri"/>
          <w:b/>
        </w:rPr>
      </w:pPr>
      <w:r>
        <w:rPr>
          <w:rFonts w:ascii="Calibri" w:hAnsi="Calibri"/>
          <w:b/>
        </w:rPr>
        <w:br w:type="page"/>
      </w:r>
    </w:p>
    <w:p w:rsidR="00282CE5" w:rsidRDefault="00282CE5" w:rsidP="00282CE5">
      <w:pPr>
        <w:jc w:val="both"/>
        <w:rPr>
          <w:rFonts w:ascii="Calibri" w:hAnsi="Calibri"/>
          <w:b/>
        </w:rPr>
        <w:sectPr w:rsidR="00282CE5" w:rsidSect="00CB3F08">
          <w:pgSz w:w="11906" w:h="16838"/>
          <w:pgMar w:top="1440" w:right="1440" w:bottom="1440" w:left="1440" w:header="708" w:footer="708" w:gutter="0"/>
          <w:cols w:space="708"/>
          <w:docGrid w:linePitch="360"/>
        </w:sectPr>
      </w:pPr>
    </w:p>
    <w:p w:rsidR="00282CE5" w:rsidRDefault="00282CE5" w:rsidP="00282CE5">
      <w:pPr>
        <w:jc w:val="both"/>
        <w:rPr>
          <w:rFonts w:ascii="Calibri" w:hAnsi="Calibri"/>
          <w:b/>
        </w:rPr>
      </w:pPr>
      <w:r>
        <w:rPr>
          <w:rFonts w:ascii="Calibri" w:hAnsi="Calibri"/>
          <w:b/>
        </w:rPr>
        <w:lastRenderedPageBreak/>
        <w:t>SUPPORTING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3081"/>
        <w:gridCol w:w="3081"/>
        <w:gridCol w:w="3049"/>
        <w:gridCol w:w="3049"/>
      </w:tblGrid>
      <w:tr w:rsidR="00282CE5" w:rsidRPr="00282CE5" w:rsidTr="00FF146C">
        <w:tc>
          <w:tcPr>
            <w:tcW w:w="1863" w:type="dxa"/>
          </w:tcPr>
          <w:p w:rsidR="00282CE5" w:rsidRPr="00282CE5" w:rsidRDefault="00282CE5" w:rsidP="00282CE5">
            <w:pPr>
              <w:spacing w:after="0"/>
              <w:jc w:val="both"/>
              <w:rPr>
                <w:rFonts w:ascii="Calibri" w:hAnsi="Calibri" w:cs="Arial"/>
                <w:b/>
                <w:szCs w:val="22"/>
              </w:rPr>
            </w:pPr>
          </w:p>
        </w:tc>
        <w:tc>
          <w:tcPr>
            <w:tcW w:w="3468" w:type="dxa"/>
          </w:tcPr>
          <w:p w:rsidR="00282CE5" w:rsidRPr="00282CE5" w:rsidRDefault="00282CE5" w:rsidP="00282CE5">
            <w:pPr>
              <w:spacing w:after="0"/>
              <w:jc w:val="center"/>
              <w:rPr>
                <w:rFonts w:ascii="Calibri" w:hAnsi="Calibri" w:cs="Arial"/>
                <w:b/>
                <w:szCs w:val="22"/>
              </w:rPr>
            </w:pPr>
            <w:r w:rsidRPr="00282CE5">
              <w:rPr>
                <w:rFonts w:ascii="Calibri" w:hAnsi="Calibri" w:cs="Arial"/>
                <w:color w:val="000000"/>
                <w:sz w:val="22"/>
                <w:szCs w:val="22"/>
                <w:shd w:val="clear" w:color="auto" w:fill="FFFFFF"/>
              </w:rPr>
              <w:t>Goserelin acetate 3.6 mg</w:t>
            </w:r>
          </w:p>
        </w:tc>
        <w:tc>
          <w:tcPr>
            <w:tcW w:w="3468" w:type="dxa"/>
          </w:tcPr>
          <w:p w:rsidR="00282CE5" w:rsidRPr="00282CE5" w:rsidRDefault="00282CE5" w:rsidP="00282CE5">
            <w:pPr>
              <w:spacing w:after="0"/>
              <w:jc w:val="center"/>
              <w:rPr>
                <w:rFonts w:ascii="Calibri" w:hAnsi="Calibri" w:cs="Arial"/>
                <w:b/>
                <w:szCs w:val="22"/>
              </w:rPr>
            </w:pPr>
            <w:r w:rsidRPr="00282CE5">
              <w:rPr>
                <w:rFonts w:ascii="Calibri" w:hAnsi="Calibri" w:cs="Arial"/>
                <w:color w:val="000000"/>
                <w:sz w:val="22"/>
                <w:szCs w:val="22"/>
                <w:shd w:val="clear" w:color="auto" w:fill="FFFFFF"/>
              </w:rPr>
              <w:t>Goserelin acetate 10.8 mg</w:t>
            </w:r>
          </w:p>
        </w:tc>
        <w:tc>
          <w:tcPr>
            <w:tcW w:w="3468" w:type="dxa"/>
          </w:tcPr>
          <w:p w:rsidR="00282CE5" w:rsidRPr="00282CE5" w:rsidRDefault="00282CE5" w:rsidP="00282CE5">
            <w:pPr>
              <w:spacing w:after="0"/>
              <w:jc w:val="center"/>
              <w:rPr>
                <w:rFonts w:ascii="Calibri" w:hAnsi="Calibri" w:cs="Arial"/>
                <w:b/>
                <w:szCs w:val="22"/>
              </w:rPr>
            </w:pPr>
            <w:r w:rsidRPr="00282CE5">
              <w:rPr>
                <w:rFonts w:ascii="Calibri" w:hAnsi="Calibri" w:cs="Arial"/>
                <w:color w:val="000000"/>
                <w:sz w:val="22"/>
                <w:szCs w:val="22"/>
                <w:shd w:val="clear" w:color="auto" w:fill="FFFFFF"/>
              </w:rPr>
              <w:t>Leuprorelin acetate 3.75 mg</w:t>
            </w:r>
          </w:p>
        </w:tc>
        <w:tc>
          <w:tcPr>
            <w:tcW w:w="3468" w:type="dxa"/>
          </w:tcPr>
          <w:p w:rsidR="00282CE5" w:rsidRPr="00282CE5" w:rsidRDefault="00282CE5" w:rsidP="00282CE5">
            <w:pPr>
              <w:spacing w:after="0"/>
              <w:jc w:val="center"/>
              <w:rPr>
                <w:rFonts w:ascii="Calibri" w:hAnsi="Calibri" w:cs="Arial"/>
                <w:b/>
                <w:szCs w:val="22"/>
              </w:rPr>
            </w:pPr>
            <w:r w:rsidRPr="00282CE5">
              <w:rPr>
                <w:rFonts w:ascii="Calibri" w:hAnsi="Calibri" w:cs="Arial"/>
                <w:color w:val="000000"/>
                <w:sz w:val="22"/>
                <w:szCs w:val="22"/>
                <w:shd w:val="clear" w:color="auto" w:fill="FFFFFF"/>
              </w:rPr>
              <w:t>Leuprorelin acetate 11.25 mg</w:t>
            </w:r>
          </w:p>
        </w:tc>
      </w:tr>
      <w:tr w:rsidR="00282CE5" w:rsidRPr="00282CE5" w:rsidTr="00FF146C">
        <w:tc>
          <w:tcPr>
            <w:tcW w:w="1863" w:type="dxa"/>
          </w:tcPr>
          <w:p w:rsidR="00282CE5" w:rsidRPr="00282CE5" w:rsidRDefault="00282CE5" w:rsidP="00282CE5">
            <w:pPr>
              <w:spacing w:after="0"/>
              <w:jc w:val="both"/>
              <w:rPr>
                <w:rFonts w:ascii="Calibri" w:hAnsi="Calibri" w:cs="Arial"/>
                <w:b/>
                <w:szCs w:val="22"/>
              </w:rPr>
            </w:pPr>
          </w:p>
        </w:tc>
        <w:tc>
          <w:tcPr>
            <w:tcW w:w="3468" w:type="dxa"/>
          </w:tcPr>
          <w:p w:rsidR="00282CE5" w:rsidRPr="00282CE5" w:rsidRDefault="00282CE5" w:rsidP="00282CE5">
            <w:pPr>
              <w:spacing w:after="0"/>
              <w:jc w:val="center"/>
              <w:rPr>
                <w:rFonts w:ascii="Calibri" w:hAnsi="Calibri" w:cs="Arial"/>
                <w:color w:val="000000"/>
                <w:szCs w:val="22"/>
                <w:shd w:val="clear" w:color="auto" w:fill="FFFFFF"/>
              </w:rPr>
            </w:pPr>
            <w:r w:rsidRPr="00282CE5">
              <w:rPr>
                <w:rFonts w:ascii="Calibri" w:hAnsi="Calibri" w:cs="Arial"/>
                <w:color w:val="000000"/>
                <w:sz w:val="22"/>
                <w:szCs w:val="22"/>
                <w:shd w:val="clear" w:color="auto" w:fill="FFFFFF"/>
              </w:rPr>
              <w:t>28 days</w:t>
            </w:r>
          </w:p>
        </w:tc>
        <w:tc>
          <w:tcPr>
            <w:tcW w:w="3468" w:type="dxa"/>
          </w:tcPr>
          <w:p w:rsidR="00282CE5" w:rsidRPr="00282CE5" w:rsidRDefault="00282CE5" w:rsidP="00282CE5">
            <w:pPr>
              <w:spacing w:after="0"/>
              <w:jc w:val="center"/>
              <w:rPr>
                <w:rFonts w:ascii="Calibri" w:hAnsi="Calibri" w:cs="Arial"/>
                <w:szCs w:val="22"/>
              </w:rPr>
            </w:pPr>
            <w:r w:rsidRPr="00282CE5">
              <w:rPr>
                <w:rFonts w:ascii="Calibri" w:hAnsi="Calibri" w:cs="Arial"/>
                <w:sz w:val="22"/>
                <w:szCs w:val="22"/>
              </w:rPr>
              <w:t>12 weeks</w:t>
            </w:r>
          </w:p>
        </w:tc>
        <w:tc>
          <w:tcPr>
            <w:tcW w:w="3468" w:type="dxa"/>
          </w:tcPr>
          <w:p w:rsidR="00282CE5" w:rsidRPr="00282CE5" w:rsidRDefault="00282CE5" w:rsidP="00282CE5">
            <w:pPr>
              <w:spacing w:after="0"/>
              <w:jc w:val="center"/>
              <w:rPr>
                <w:rFonts w:ascii="Calibri" w:hAnsi="Calibri" w:cs="Arial"/>
                <w:szCs w:val="22"/>
              </w:rPr>
            </w:pPr>
            <w:r w:rsidRPr="00282CE5">
              <w:rPr>
                <w:rFonts w:ascii="Calibri" w:hAnsi="Calibri" w:cs="Arial"/>
                <w:sz w:val="22"/>
                <w:szCs w:val="22"/>
              </w:rPr>
              <w:t>1 month</w:t>
            </w:r>
          </w:p>
        </w:tc>
        <w:tc>
          <w:tcPr>
            <w:tcW w:w="3468" w:type="dxa"/>
          </w:tcPr>
          <w:p w:rsidR="00282CE5" w:rsidRPr="00282CE5" w:rsidRDefault="00282CE5" w:rsidP="00282CE5">
            <w:pPr>
              <w:spacing w:after="0"/>
              <w:jc w:val="center"/>
              <w:rPr>
                <w:rFonts w:ascii="Calibri" w:hAnsi="Calibri" w:cs="Arial"/>
                <w:szCs w:val="22"/>
              </w:rPr>
            </w:pPr>
            <w:r w:rsidRPr="00282CE5">
              <w:rPr>
                <w:rFonts w:ascii="Calibri" w:hAnsi="Calibri" w:cs="Arial"/>
                <w:sz w:val="22"/>
                <w:szCs w:val="22"/>
              </w:rPr>
              <w:t>3 months</w:t>
            </w:r>
          </w:p>
        </w:tc>
      </w:tr>
      <w:tr w:rsidR="00282CE5" w:rsidRPr="00282CE5" w:rsidTr="00FF146C">
        <w:tc>
          <w:tcPr>
            <w:tcW w:w="1863" w:type="dxa"/>
          </w:tcPr>
          <w:p w:rsidR="00282CE5" w:rsidRPr="00282CE5" w:rsidRDefault="00282CE5" w:rsidP="00282CE5">
            <w:pPr>
              <w:spacing w:after="0"/>
              <w:rPr>
                <w:rFonts w:ascii="Calibri" w:hAnsi="Calibri" w:cs="Arial"/>
                <w:b/>
                <w:szCs w:val="22"/>
              </w:rPr>
            </w:pPr>
            <w:r w:rsidRPr="00282CE5">
              <w:rPr>
                <w:rFonts w:ascii="Calibri" w:hAnsi="Calibri" w:cs="Arial"/>
                <w:b/>
                <w:sz w:val="22"/>
                <w:szCs w:val="22"/>
              </w:rPr>
              <w:t>Licensed indications</w:t>
            </w:r>
          </w:p>
          <w:p w:rsidR="00282CE5" w:rsidRPr="00282CE5" w:rsidRDefault="00282CE5" w:rsidP="00282CE5">
            <w:pPr>
              <w:spacing w:after="0"/>
              <w:jc w:val="both"/>
              <w:rPr>
                <w:rFonts w:ascii="Calibri" w:hAnsi="Calibri" w:cs="Arial"/>
                <w:b/>
                <w:szCs w:val="22"/>
              </w:rPr>
            </w:pPr>
          </w:p>
        </w:tc>
        <w:tc>
          <w:tcPr>
            <w:tcW w:w="6936" w:type="dxa"/>
            <w:gridSpan w:val="2"/>
          </w:tcPr>
          <w:p w:rsidR="00282CE5" w:rsidRPr="00282CE5" w:rsidRDefault="00282CE5" w:rsidP="00282CE5">
            <w:pPr>
              <w:shd w:val="clear" w:color="auto" w:fill="FFFFFF"/>
              <w:spacing w:after="0"/>
              <w:rPr>
                <w:rFonts w:ascii="Calibri" w:hAnsi="Calibri" w:cs="Arial"/>
                <w:color w:val="000000"/>
                <w:szCs w:val="22"/>
              </w:rPr>
            </w:pPr>
            <w:r w:rsidRPr="00282CE5">
              <w:rPr>
                <w:rFonts w:ascii="Calibri" w:hAnsi="Calibri" w:cs="Arial"/>
                <w:color w:val="000000"/>
                <w:sz w:val="22"/>
                <w:szCs w:val="22"/>
              </w:rPr>
              <w:t xml:space="preserve">• In the treatment of metastatic prostate cancer where Zoladex has demonstrated comparable survival benefits to surgical castrations </w:t>
            </w:r>
          </w:p>
          <w:p w:rsidR="00282CE5" w:rsidRPr="00282CE5" w:rsidRDefault="00282CE5" w:rsidP="00282CE5">
            <w:pPr>
              <w:shd w:val="clear" w:color="auto" w:fill="FFFFFF"/>
              <w:spacing w:after="0"/>
              <w:rPr>
                <w:rFonts w:ascii="Calibri" w:hAnsi="Calibri" w:cs="Arial"/>
                <w:color w:val="000000"/>
                <w:szCs w:val="22"/>
              </w:rPr>
            </w:pPr>
            <w:r w:rsidRPr="00282CE5">
              <w:rPr>
                <w:rFonts w:ascii="Calibri" w:hAnsi="Calibri" w:cs="Arial"/>
                <w:color w:val="000000"/>
                <w:sz w:val="22"/>
                <w:szCs w:val="22"/>
              </w:rPr>
              <w:t xml:space="preserve">• In the treatment of locally advanced prostate cancer, as an alternative to surgical castration where Zoladex has demonstrated comparable survival benefits to an anti-androgen </w:t>
            </w:r>
          </w:p>
          <w:p w:rsidR="00282CE5" w:rsidRPr="00282CE5" w:rsidRDefault="00282CE5" w:rsidP="00282CE5">
            <w:pPr>
              <w:shd w:val="clear" w:color="auto" w:fill="FFFFFF"/>
              <w:spacing w:after="0"/>
              <w:rPr>
                <w:rFonts w:ascii="Calibri" w:hAnsi="Calibri" w:cs="Arial"/>
                <w:color w:val="000000"/>
                <w:szCs w:val="22"/>
              </w:rPr>
            </w:pPr>
            <w:r w:rsidRPr="00282CE5">
              <w:rPr>
                <w:rFonts w:ascii="Calibri" w:hAnsi="Calibri" w:cs="Arial"/>
                <w:color w:val="000000"/>
                <w:sz w:val="22"/>
                <w:szCs w:val="22"/>
              </w:rPr>
              <w:t xml:space="preserve">• As adjuvant treatment to radiotherapy in patients with high-risk localised or locally advanced prostate cancer where Zoladex has demonstrated improved disease-free survival and overall survival </w:t>
            </w:r>
          </w:p>
          <w:p w:rsidR="00282CE5" w:rsidRPr="00282CE5" w:rsidRDefault="00282CE5" w:rsidP="00282CE5">
            <w:pPr>
              <w:shd w:val="clear" w:color="auto" w:fill="FFFFFF"/>
              <w:spacing w:after="0"/>
              <w:rPr>
                <w:rFonts w:ascii="Calibri" w:hAnsi="Calibri" w:cs="Arial"/>
                <w:color w:val="000000"/>
                <w:szCs w:val="22"/>
              </w:rPr>
            </w:pPr>
            <w:r w:rsidRPr="00282CE5">
              <w:rPr>
                <w:rFonts w:ascii="Calibri" w:hAnsi="Calibri" w:cs="Arial"/>
                <w:color w:val="000000"/>
                <w:sz w:val="22"/>
                <w:szCs w:val="22"/>
              </w:rPr>
              <w:t xml:space="preserve">• As neo-adjuvant treatment prior to radiotherapy in patients with high-risk localised or locally advanced prostate cancer where Zoladex has demonstrated improved disease-free survival </w:t>
            </w:r>
          </w:p>
          <w:p w:rsidR="00282CE5" w:rsidRPr="00282CE5" w:rsidRDefault="00282CE5" w:rsidP="00282CE5">
            <w:pPr>
              <w:shd w:val="clear" w:color="auto" w:fill="FFFFFF"/>
              <w:spacing w:after="0"/>
              <w:rPr>
                <w:rFonts w:ascii="Calibri" w:hAnsi="Calibri" w:cs="Arial"/>
                <w:color w:val="000000"/>
                <w:szCs w:val="22"/>
              </w:rPr>
            </w:pPr>
            <w:r w:rsidRPr="00282CE5">
              <w:rPr>
                <w:rFonts w:ascii="Calibri" w:hAnsi="Calibri" w:cs="Arial"/>
                <w:color w:val="000000"/>
                <w:sz w:val="22"/>
                <w:szCs w:val="22"/>
              </w:rPr>
              <w:t>• As adjuvant treatment to radical prostatectomy in patients with locally advanced prostate cancer at high risk of disease progression where Zoladex has demonstrated improved disease-free survival</w:t>
            </w:r>
          </w:p>
        </w:tc>
        <w:tc>
          <w:tcPr>
            <w:tcW w:w="6936" w:type="dxa"/>
            <w:gridSpan w:val="2"/>
          </w:tcPr>
          <w:p w:rsidR="00282CE5" w:rsidRPr="00282CE5" w:rsidRDefault="00282CE5" w:rsidP="00282CE5">
            <w:pPr>
              <w:pStyle w:val="NormalWeb"/>
              <w:spacing w:before="0" w:beforeAutospacing="0" w:after="0"/>
              <w:jc w:val="both"/>
              <w:rPr>
                <w:rFonts w:ascii="Calibri" w:hAnsi="Calibri" w:cs="Arial"/>
                <w:szCs w:val="22"/>
              </w:rPr>
            </w:pPr>
            <w:r w:rsidRPr="00282CE5">
              <w:rPr>
                <w:rFonts w:ascii="Calibri" w:hAnsi="Calibri" w:cs="Arial"/>
                <w:sz w:val="22"/>
                <w:szCs w:val="22"/>
              </w:rPr>
              <w:t>(i) Metastatic prostate cancer.</w:t>
            </w:r>
          </w:p>
          <w:p w:rsidR="00282CE5" w:rsidRPr="00282CE5" w:rsidRDefault="00282CE5" w:rsidP="00282CE5">
            <w:pPr>
              <w:pStyle w:val="NormalWeb"/>
              <w:spacing w:before="0" w:beforeAutospacing="0" w:after="0"/>
              <w:jc w:val="both"/>
              <w:rPr>
                <w:rFonts w:ascii="Calibri" w:hAnsi="Calibri" w:cs="Arial"/>
                <w:szCs w:val="22"/>
              </w:rPr>
            </w:pPr>
            <w:r w:rsidRPr="00282CE5">
              <w:rPr>
                <w:rFonts w:ascii="Calibri" w:hAnsi="Calibri" w:cs="Arial"/>
                <w:sz w:val="22"/>
                <w:szCs w:val="22"/>
              </w:rPr>
              <w:t>(ii) Locally advanced prostate cancer, as an alternative to surgical castration.</w:t>
            </w:r>
          </w:p>
          <w:p w:rsidR="00282CE5" w:rsidRPr="00282CE5" w:rsidRDefault="00282CE5" w:rsidP="00282CE5">
            <w:pPr>
              <w:pStyle w:val="NormalWeb"/>
              <w:spacing w:before="0" w:beforeAutospacing="0" w:after="0"/>
              <w:jc w:val="both"/>
              <w:rPr>
                <w:rFonts w:ascii="Calibri" w:hAnsi="Calibri" w:cs="Arial"/>
                <w:szCs w:val="22"/>
              </w:rPr>
            </w:pPr>
            <w:r w:rsidRPr="00282CE5">
              <w:rPr>
                <w:rFonts w:ascii="Calibri" w:hAnsi="Calibri" w:cs="Arial"/>
                <w:sz w:val="22"/>
                <w:szCs w:val="22"/>
              </w:rPr>
              <w:t>(iii) As an adjuvant treatment to radiotherapy in patients with high-risk localised or locally advanced prostate cancer.</w:t>
            </w:r>
          </w:p>
          <w:p w:rsidR="00282CE5" w:rsidRPr="00282CE5" w:rsidRDefault="00282CE5" w:rsidP="00282CE5">
            <w:pPr>
              <w:spacing w:after="0"/>
              <w:jc w:val="both"/>
              <w:rPr>
                <w:rFonts w:ascii="Calibri" w:hAnsi="Calibri" w:cs="Arial"/>
                <w:b/>
                <w:szCs w:val="22"/>
              </w:rPr>
            </w:pPr>
            <w:r w:rsidRPr="00282CE5">
              <w:rPr>
                <w:rFonts w:ascii="Calibri" w:hAnsi="Calibri" w:cs="Arial"/>
                <w:color w:val="000000"/>
                <w:sz w:val="22"/>
                <w:szCs w:val="22"/>
              </w:rPr>
              <w:t>(iv) As an adjuvant treatment to radical prostatectomy in patients with locally advanced prostate cancer at high risk of disease progression.</w:t>
            </w:r>
          </w:p>
        </w:tc>
      </w:tr>
      <w:tr w:rsidR="00282CE5" w:rsidRPr="00282CE5" w:rsidTr="00FF146C">
        <w:trPr>
          <w:trHeight w:val="936"/>
        </w:trPr>
        <w:tc>
          <w:tcPr>
            <w:tcW w:w="1863" w:type="dxa"/>
            <w:vMerge w:val="restart"/>
          </w:tcPr>
          <w:p w:rsidR="00282CE5" w:rsidRPr="00282CE5" w:rsidRDefault="00282CE5" w:rsidP="00282CE5">
            <w:pPr>
              <w:pStyle w:val="mtrachead3"/>
              <w:keepNext w:val="0"/>
              <w:rPr>
                <w:rFonts w:ascii="Calibri" w:hAnsi="Calibri" w:cs="Arial"/>
                <w:snapToGrid/>
                <w:sz w:val="22"/>
                <w:szCs w:val="22"/>
              </w:rPr>
            </w:pPr>
            <w:r w:rsidRPr="00282CE5">
              <w:rPr>
                <w:rFonts w:ascii="Calibri" w:hAnsi="Calibri" w:cs="Arial"/>
                <w:snapToGrid/>
                <w:sz w:val="22"/>
                <w:szCs w:val="22"/>
              </w:rPr>
              <w:t>Dosage and Administration</w:t>
            </w:r>
          </w:p>
          <w:p w:rsidR="00282CE5" w:rsidRPr="00282CE5" w:rsidRDefault="00282CE5" w:rsidP="00282CE5">
            <w:pPr>
              <w:spacing w:after="0"/>
              <w:jc w:val="both"/>
              <w:rPr>
                <w:rFonts w:ascii="Calibri" w:hAnsi="Calibri" w:cs="Arial"/>
                <w:b/>
                <w:szCs w:val="22"/>
              </w:rPr>
            </w:pPr>
          </w:p>
        </w:tc>
        <w:tc>
          <w:tcPr>
            <w:tcW w:w="3468" w:type="dxa"/>
            <w:vMerge w:val="restart"/>
          </w:tcPr>
          <w:p w:rsidR="00282CE5" w:rsidRPr="00282CE5" w:rsidRDefault="00282CE5" w:rsidP="00282CE5">
            <w:pPr>
              <w:spacing w:after="0"/>
              <w:rPr>
                <w:rFonts w:ascii="Calibri" w:hAnsi="Calibri" w:cs="Arial"/>
                <w:b/>
                <w:szCs w:val="22"/>
              </w:rPr>
            </w:pPr>
            <w:r w:rsidRPr="00282CE5">
              <w:rPr>
                <w:rFonts w:ascii="Calibri" w:hAnsi="Calibri" w:cs="Arial"/>
                <w:color w:val="000000"/>
                <w:sz w:val="22"/>
                <w:szCs w:val="22"/>
                <w:shd w:val="clear" w:color="auto" w:fill="FFFFFF"/>
              </w:rPr>
              <w:t>One 3.6mg depot injected subcutaneously into the anterior abdominal wall, every 28 days</w:t>
            </w:r>
          </w:p>
        </w:tc>
        <w:tc>
          <w:tcPr>
            <w:tcW w:w="3468" w:type="dxa"/>
            <w:vMerge w:val="restart"/>
          </w:tcPr>
          <w:p w:rsidR="00282CE5" w:rsidRPr="00282CE5" w:rsidRDefault="00282CE5" w:rsidP="00282CE5">
            <w:pPr>
              <w:spacing w:after="0"/>
              <w:jc w:val="both"/>
              <w:rPr>
                <w:rFonts w:ascii="Calibri" w:hAnsi="Calibri" w:cs="Arial"/>
                <w:b/>
                <w:szCs w:val="22"/>
              </w:rPr>
            </w:pPr>
            <w:r w:rsidRPr="00282CE5">
              <w:rPr>
                <w:rFonts w:ascii="Calibri" w:hAnsi="Calibri" w:cs="Arial"/>
                <w:color w:val="000000"/>
                <w:sz w:val="22"/>
                <w:szCs w:val="22"/>
                <w:shd w:val="clear" w:color="auto" w:fill="FFFFFF"/>
              </w:rPr>
              <w:t>One depot injected subcutaneously into the anterior abdominal wall every 12 weeks.</w:t>
            </w:r>
          </w:p>
        </w:tc>
        <w:tc>
          <w:tcPr>
            <w:tcW w:w="3468" w:type="dxa"/>
          </w:tcPr>
          <w:p w:rsidR="00282CE5" w:rsidRPr="00282CE5" w:rsidRDefault="00282CE5" w:rsidP="00282CE5">
            <w:pPr>
              <w:spacing w:after="0"/>
              <w:rPr>
                <w:rFonts w:ascii="Calibri" w:hAnsi="Calibri" w:cs="Arial"/>
                <w:color w:val="000000"/>
                <w:szCs w:val="22"/>
                <w:shd w:val="clear" w:color="auto" w:fill="FFFFFF"/>
              </w:rPr>
            </w:pPr>
            <w:r w:rsidRPr="00282CE5">
              <w:rPr>
                <w:rFonts w:ascii="Calibri" w:hAnsi="Calibri" w:cs="Arial"/>
                <w:color w:val="000000"/>
                <w:sz w:val="22"/>
                <w:szCs w:val="22"/>
                <w:shd w:val="clear" w:color="auto" w:fill="FFFFFF"/>
              </w:rPr>
              <w:t xml:space="preserve">One 3.75 mg depot injection administered as a single subcutaneous or intramuscular injection every month. </w:t>
            </w:r>
          </w:p>
        </w:tc>
        <w:tc>
          <w:tcPr>
            <w:tcW w:w="3468" w:type="dxa"/>
          </w:tcPr>
          <w:p w:rsidR="00282CE5" w:rsidRPr="00282CE5" w:rsidRDefault="00282CE5" w:rsidP="00282CE5">
            <w:pPr>
              <w:spacing w:after="0"/>
              <w:rPr>
                <w:rFonts w:ascii="Calibri" w:hAnsi="Calibri" w:cs="Arial"/>
                <w:color w:val="000000"/>
                <w:szCs w:val="22"/>
                <w:shd w:val="clear" w:color="auto" w:fill="FFFFFF"/>
              </w:rPr>
            </w:pPr>
            <w:r w:rsidRPr="00282CE5">
              <w:rPr>
                <w:rFonts w:ascii="Calibri" w:hAnsi="Calibri" w:cs="Arial"/>
                <w:color w:val="000000"/>
                <w:sz w:val="22"/>
                <w:szCs w:val="22"/>
                <w:shd w:val="clear" w:color="auto" w:fill="FFFFFF"/>
              </w:rPr>
              <w:t xml:space="preserve">One 11.25 mg depot injection administered as a single subcutaneous injection every three months. </w:t>
            </w:r>
          </w:p>
        </w:tc>
      </w:tr>
      <w:tr w:rsidR="00282CE5" w:rsidRPr="00282CE5" w:rsidTr="00FF146C">
        <w:tc>
          <w:tcPr>
            <w:tcW w:w="1863" w:type="dxa"/>
            <w:vMerge/>
          </w:tcPr>
          <w:p w:rsidR="00282CE5" w:rsidRPr="00282CE5" w:rsidRDefault="00282CE5" w:rsidP="00282CE5">
            <w:pPr>
              <w:pStyle w:val="mtrachead3"/>
              <w:keepNext w:val="0"/>
              <w:rPr>
                <w:rFonts w:ascii="Calibri" w:hAnsi="Calibri" w:cs="Arial"/>
                <w:snapToGrid/>
                <w:sz w:val="22"/>
                <w:szCs w:val="22"/>
              </w:rPr>
            </w:pPr>
          </w:p>
        </w:tc>
        <w:tc>
          <w:tcPr>
            <w:tcW w:w="3468" w:type="dxa"/>
            <w:vMerge/>
          </w:tcPr>
          <w:p w:rsidR="00282CE5" w:rsidRPr="00282CE5" w:rsidRDefault="00282CE5" w:rsidP="00282CE5">
            <w:pPr>
              <w:spacing w:after="0"/>
              <w:rPr>
                <w:rFonts w:ascii="Calibri" w:hAnsi="Calibri" w:cs="Arial"/>
                <w:color w:val="000000"/>
                <w:szCs w:val="22"/>
                <w:shd w:val="clear" w:color="auto" w:fill="FFFFFF"/>
              </w:rPr>
            </w:pPr>
          </w:p>
        </w:tc>
        <w:tc>
          <w:tcPr>
            <w:tcW w:w="3468" w:type="dxa"/>
            <w:vMerge/>
          </w:tcPr>
          <w:p w:rsidR="00282CE5" w:rsidRPr="00282CE5" w:rsidRDefault="00282CE5" w:rsidP="00282CE5">
            <w:pPr>
              <w:spacing w:after="0"/>
              <w:jc w:val="both"/>
              <w:rPr>
                <w:rFonts w:ascii="Calibri" w:hAnsi="Calibri" w:cs="Arial"/>
                <w:color w:val="000000"/>
                <w:szCs w:val="22"/>
                <w:shd w:val="clear" w:color="auto" w:fill="FFFFFF"/>
              </w:rPr>
            </w:pPr>
          </w:p>
        </w:tc>
        <w:tc>
          <w:tcPr>
            <w:tcW w:w="6936" w:type="dxa"/>
            <w:gridSpan w:val="2"/>
          </w:tcPr>
          <w:p w:rsidR="00282CE5" w:rsidRPr="00282CE5" w:rsidRDefault="00282CE5" w:rsidP="00282CE5">
            <w:pPr>
              <w:spacing w:after="0"/>
              <w:jc w:val="both"/>
              <w:rPr>
                <w:rFonts w:ascii="Calibri" w:hAnsi="Calibri" w:cs="Arial"/>
                <w:color w:val="000000"/>
                <w:szCs w:val="22"/>
                <w:shd w:val="clear" w:color="auto" w:fill="FFFFFF"/>
              </w:rPr>
            </w:pPr>
            <w:r w:rsidRPr="00282CE5">
              <w:rPr>
                <w:rFonts w:ascii="Calibri" w:hAnsi="Calibri" w:cs="Arial"/>
                <w:color w:val="000000"/>
                <w:sz w:val="22"/>
                <w:szCs w:val="22"/>
                <w:shd w:val="clear" w:color="auto" w:fill="FFFFFF"/>
              </w:rPr>
              <w:t>Leuprorelin therapy should not be discontinued when remission or improvement occurs. As with other drugs administered chronically by injection, the injection site should be varied periodically.</w:t>
            </w:r>
          </w:p>
        </w:tc>
      </w:tr>
      <w:tr w:rsidR="00282CE5" w:rsidRPr="00282CE5" w:rsidTr="00FF146C">
        <w:tc>
          <w:tcPr>
            <w:tcW w:w="1863" w:type="dxa"/>
          </w:tcPr>
          <w:p w:rsidR="00282CE5" w:rsidRPr="00282CE5" w:rsidRDefault="00282CE5" w:rsidP="00282CE5">
            <w:pPr>
              <w:spacing w:after="0"/>
              <w:jc w:val="both"/>
              <w:rPr>
                <w:rFonts w:ascii="Calibri" w:hAnsi="Calibri" w:cs="Arial"/>
                <w:b/>
                <w:szCs w:val="22"/>
              </w:rPr>
            </w:pPr>
            <w:r w:rsidRPr="00282CE5">
              <w:rPr>
                <w:rFonts w:ascii="Calibri" w:hAnsi="Calibri" w:cs="Arial"/>
                <w:b/>
                <w:color w:val="000000"/>
                <w:sz w:val="22"/>
                <w:szCs w:val="22"/>
              </w:rPr>
              <w:t>Renal impairment</w:t>
            </w:r>
          </w:p>
        </w:tc>
        <w:tc>
          <w:tcPr>
            <w:tcW w:w="6936" w:type="dxa"/>
            <w:gridSpan w:val="2"/>
          </w:tcPr>
          <w:p w:rsidR="00282CE5" w:rsidRPr="00282CE5" w:rsidRDefault="00282CE5" w:rsidP="00282CE5">
            <w:pPr>
              <w:spacing w:after="0"/>
              <w:jc w:val="both"/>
              <w:rPr>
                <w:rFonts w:ascii="Calibri" w:hAnsi="Calibri" w:cs="Arial"/>
                <w:b/>
                <w:szCs w:val="22"/>
              </w:rPr>
            </w:pPr>
            <w:r w:rsidRPr="00282CE5">
              <w:rPr>
                <w:rFonts w:ascii="Calibri" w:hAnsi="Calibri" w:cs="Arial"/>
                <w:color w:val="000000"/>
                <w:sz w:val="22"/>
                <w:szCs w:val="22"/>
                <w:shd w:val="clear" w:color="auto" w:fill="FFFFFF"/>
              </w:rPr>
              <w:t>No dosage adjustment is necessary for patients with renal impairment</w:t>
            </w:r>
          </w:p>
        </w:tc>
        <w:tc>
          <w:tcPr>
            <w:tcW w:w="6936" w:type="dxa"/>
            <w:gridSpan w:val="2"/>
          </w:tcPr>
          <w:p w:rsidR="00282CE5" w:rsidRPr="00282CE5" w:rsidRDefault="00282CE5" w:rsidP="00282CE5">
            <w:pPr>
              <w:spacing w:after="0"/>
              <w:jc w:val="both"/>
              <w:rPr>
                <w:rFonts w:ascii="Calibri" w:hAnsi="Calibri" w:cs="Arial"/>
                <w:b/>
                <w:szCs w:val="22"/>
              </w:rPr>
            </w:pPr>
            <w:r w:rsidRPr="00282CE5">
              <w:rPr>
                <w:rFonts w:ascii="Calibri" w:hAnsi="Calibri" w:cs="Arial"/>
                <w:color w:val="000000"/>
                <w:sz w:val="22"/>
                <w:szCs w:val="22"/>
                <w:shd w:val="clear" w:color="auto" w:fill="FFFFFF"/>
              </w:rPr>
              <w:t>No dosage adjustment is necessary for patients with renal impairment.  Monitor patients with GFR &lt;10ml/min (Ref= The Renal Drug Handbook)</w:t>
            </w:r>
          </w:p>
        </w:tc>
      </w:tr>
      <w:tr w:rsidR="00282CE5" w:rsidRPr="00282CE5" w:rsidTr="00FF146C">
        <w:tc>
          <w:tcPr>
            <w:tcW w:w="1863" w:type="dxa"/>
          </w:tcPr>
          <w:p w:rsidR="00282CE5" w:rsidRPr="00282CE5" w:rsidRDefault="00282CE5" w:rsidP="00282CE5">
            <w:pPr>
              <w:pStyle w:val="mtrachead3"/>
              <w:keepNext w:val="0"/>
              <w:rPr>
                <w:rFonts w:ascii="Calibri" w:hAnsi="Calibri" w:cs="Arial"/>
                <w:snapToGrid/>
                <w:sz w:val="22"/>
                <w:szCs w:val="22"/>
              </w:rPr>
            </w:pPr>
            <w:r w:rsidRPr="00282CE5">
              <w:rPr>
                <w:rFonts w:ascii="Calibri" w:hAnsi="Calibri" w:cs="Arial"/>
                <w:color w:val="000000"/>
                <w:sz w:val="22"/>
                <w:szCs w:val="22"/>
              </w:rPr>
              <w:t>Hepatic impairment</w:t>
            </w:r>
          </w:p>
        </w:tc>
        <w:tc>
          <w:tcPr>
            <w:tcW w:w="6936" w:type="dxa"/>
            <w:gridSpan w:val="2"/>
          </w:tcPr>
          <w:p w:rsidR="00282CE5" w:rsidRPr="00282CE5" w:rsidRDefault="00282CE5" w:rsidP="00282CE5">
            <w:pPr>
              <w:spacing w:after="0"/>
              <w:jc w:val="both"/>
              <w:rPr>
                <w:rFonts w:ascii="Calibri" w:hAnsi="Calibri" w:cs="Arial"/>
                <w:b/>
                <w:szCs w:val="22"/>
              </w:rPr>
            </w:pPr>
            <w:r w:rsidRPr="00282CE5">
              <w:rPr>
                <w:rFonts w:ascii="Calibri" w:hAnsi="Calibri" w:cs="Arial"/>
                <w:color w:val="000000"/>
                <w:sz w:val="22"/>
                <w:szCs w:val="22"/>
                <w:shd w:val="clear" w:color="auto" w:fill="FFFFFF"/>
              </w:rPr>
              <w:t>No dosage adjustment is necessary for patients with hepatic impairment</w:t>
            </w:r>
          </w:p>
        </w:tc>
        <w:tc>
          <w:tcPr>
            <w:tcW w:w="6936" w:type="dxa"/>
            <w:gridSpan w:val="2"/>
          </w:tcPr>
          <w:p w:rsidR="00282CE5" w:rsidRPr="00282CE5" w:rsidRDefault="00282CE5" w:rsidP="00282CE5">
            <w:pPr>
              <w:spacing w:after="0"/>
              <w:jc w:val="both"/>
              <w:rPr>
                <w:rFonts w:ascii="Calibri" w:hAnsi="Calibri" w:cs="Arial"/>
                <w:b/>
                <w:szCs w:val="22"/>
              </w:rPr>
            </w:pPr>
            <w:r w:rsidRPr="00282CE5">
              <w:rPr>
                <w:rFonts w:ascii="Calibri" w:hAnsi="Calibri" w:cs="Arial"/>
                <w:color w:val="000000"/>
                <w:sz w:val="22"/>
                <w:szCs w:val="22"/>
                <w:shd w:val="clear" w:color="auto" w:fill="FFFFFF"/>
              </w:rPr>
              <w:t xml:space="preserve">Hepatic dysfunction and jaundice with elevated liver enzyme have been reported. Therefore, close observation should be </w:t>
            </w:r>
            <w:r w:rsidRPr="00282CE5">
              <w:rPr>
                <w:rFonts w:ascii="Calibri" w:hAnsi="Calibri" w:cs="Arial"/>
                <w:color w:val="000000"/>
                <w:sz w:val="22"/>
                <w:szCs w:val="22"/>
                <w:shd w:val="clear" w:color="auto" w:fill="FFFFFF"/>
              </w:rPr>
              <w:lastRenderedPageBreak/>
              <w:t>made and appropriate measures taken if necessary</w:t>
            </w:r>
          </w:p>
        </w:tc>
      </w:tr>
    </w:tbl>
    <w:p w:rsidR="00282CE5" w:rsidRDefault="00282CE5" w:rsidP="00282CE5">
      <w:pPr>
        <w:jc w:val="both"/>
        <w:rPr>
          <w:rFonts w:ascii="Calibri" w:hAnsi="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946"/>
        <w:gridCol w:w="5245"/>
      </w:tblGrid>
      <w:tr w:rsidR="00282CE5" w:rsidRPr="004D590E" w:rsidTr="00282CE5">
        <w:trPr>
          <w:cantSplit/>
          <w:trHeight w:val="1134"/>
        </w:trPr>
        <w:tc>
          <w:tcPr>
            <w:tcW w:w="1843" w:type="dxa"/>
          </w:tcPr>
          <w:p w:rsidR="00282CE5" w:rsidRPr="004D590E" w:rsidRDefault="00282CE5" w:rsidP="00282CE5">
            <w:pPr>
              <w:spacing w:after="0"/>
              <w:ind w:left="113" w:right="113"/>
              <w:rPr>
                <w:rFonts w:ascii="Calibri" w:hAnsi="Calibri" w:cs="Arial"/>
                <w:b/>
                <w:szCs w:val="22"/>
              </w:rPr>
            </w:pPr>
            <w:r w:rsidRPr="004D590E">
              <w:rPr>
                <w:rFonts w:ascii="Calibri" w:hAnsi="Calibri" w:cs="Arial"/>
                <w:b/>
                <w:sz w:val="22"/>
                <w:szCs w:val="22"/>
              </w:rPr>
              <w:t>Contraindications and special warnings</w:t>
            </w:r>
          </w:p>
        </w:tc>
        <w:tc>
          <w:tcPr>
            <w:tcW w:w="12191" w:type="dxa"/>
            <w:gridSpan w:val="2"/>
          </w:tcPr>
          <w:p w:rsidR="00282CE5" w:rsidRPr="004D590E" w:rsidRDefault="00282CE5" w:rsidP="00282CE5">
            <w:pPr>
              <w:numPr>
                <w:ilvl w:val="0"/>
                <w:numId w:val="12"/>
              </w:numPr>
              <w:shd w:val="clear" w:color="auto" w:fill="FFFFFF"/>
              <w:tabs>
                <w:tab w:val="clear" w:pos="720"/>
                <w:tab w:val="num" w:pos="297"/>
              </w:tabs>
              <w:spacing w:after="0" w:line="281" w:lineRule="atLeast"/>
              <w:ind w:left="297" w:hanging="283"/>
              <w:rPr>
                <w:rFonts w:ascii="Calibri" w:hAnsi="Calibri" w:cs="Arial"/>
                <w:color w:val="000000"/>
                <w:szCs w:val="22"/>
              </w:rPr>
            </w:pPr>
            <w:r w:rsidRPr="004D590E">
              <w:rPr>
                <w:rFonts w:ascii="Calibri" w:hAnsi="Calibri" w:cs="Arial"/>
                <w:color w:val="000000"/>
                <w:sz w:val="22"/>
                <w:szCs w:val="22"/>
              </w:rPr>
              <w:t>Known severe hypersensitivity to the active substance or to any of the excipients of this product.</w:t>
            </w:r>
          </w:p>
          <w:p w:rsidR="00282CE5" w:rsidRPr="004D590E" w:rsidRDefault="00282CE5" w:rsidP="00282CE5">
            <w:pPr>
              <w:numPr>
                <w:ilvl w:val="0"/>
                <w:numId w:val="12"/>
              </w:numPr>
              <w:shd w:val="clear" w:color="auto" w:fill="FFFFFF"/>
              <w:tabs>
                <w:tab w:val="clear" w:pos="720"/>
                <w:tab w:val="num" w:pos="297"/>
              </w:tabs>
              <w:spacing w:after="0" w:line="281" w:lineRule="atLeast"/>
              <w:ind w:left="297" w:hanging="283"/>
              <w:rPr>
                <w:rFonts w:ascii="Calibri" w:hAnsi="Calibri" w:cs="Arial"/>
                <w:color w:val="000000"/>
                <w:szCs w:val="22"/>
              </w:rPr>
            </w:pPr>
            <w:r w:rsidRPr="004D590E">
              <w:rPr>
                <w:rFonts w:ascii="Calibri" w:hAnsi="Calibri" w:cs="Arial"/>
                <w:color w:val="000000"/>
                <w:sz w:val="22"/>
                <w:szCs w:val="22"/>
                <w:shd w:val="clear" w:color="auto" w:fill="FFFFFF"/>
              </w:rPr>
              <w:t>Increased risk of incident depression (which may be severe) – Inform patients and treated as appropriate.</w:t>
            </w:r>
            <w:r w:rsidRPr="004D590E">
              <w:rPr>
                <w:rFonts w:ascii="Calibri" w:hAnsi="Calibri" w:cs="Arial"/>
                <w:color w:val="000000"/>
                <w:sz w:val="22"/>
                <w:szCs w:val="22"/>
              </w:rPr>
              <w:t xml:space="preserve"> </w:t>
            </w:r>
          </w:p>
          <w:p w:rsidR="00282CE5" w:rsidRPr="004D590E" w:rsidRDefault="00282CE5" w:rsidP="00282CE5">
            <w:pPr>
              <w:numPr>
                <w:ilvl w:val="0"/>
                <w:numId w:val="12"/>
              </w:numPr>
              <w:shd w:val="clear" w:color="auto" w:fill="FFFFFF"/>
              <w:tabs>
                <w:tab w:val="clear" w:pos="720"/>
                <w:tab w:val="num" w:pos="297"/>
              </w:tabs>
              <w:spacing w:after="0" w:line="281" w:lineRule="atLeast"/>
              <w:ind w:left="297" w:hanging="283"/>
              <w:rPr>
                <w:rFonts w:ascii="Calibri" w:hAnsi="Calibri" w:cs="Arial"/>
                <w:color w:val="000000"/>
                <w:szCs w:val="22"/>
              </w:rPr>
            </w:pPr>
            <w:r w:rsidRPr="004D590E">
              <w:rPr>
                <w:rFonts w:ascii="Calibri" w:hAnsi="Calibri" w:cs="Arial"/>
                <w:color w:val="000000"/>
                <w:sz w:val="22"/>
                <w:szCs w:val="22"/>
              </w:rPr>
              <w:t xml:space="preserve">Patients at risk of ureteric obstruction or spinal cord compression should be considered carefully and closely supervised in the first few weeks of treatment. These patients should be considered for prophylactic treatment with anti-androgens </w:t>
            </w:r>
          </w:p>
          <w:p w:rsidR="00282CE5" w:rsidRPr="004D590E" w:rsidRDefault="00282CE5" w:rsidP="00282CE5">
            <w:pPr>
              <w:numPr>
                <w:ilvl w:val="0"/>
                <w:numId w:val="12"/>
              </w:numPr>
              <w:shd w:val="clear" w:color="auto" w:fill="FFFFFF"/>
              <w:tabs>
                <w:tab w:val="clear" w:pos="720"/>
                <w:tab w:val="num" w:pos="307"/>
              </w:tabs>
              <w:spacing w:after="0"/>
              <w:ind w:left="307" w:hanging="307"/>
              <w:rPr>
                <w:rFonts w:ascii="Calibri" w:hAnsi="Calibri" w:cs="Arial"/>
                <w:color w:val="000000"/>
                <w:szCs w:val="22"/>
              </w:rPr>
            </w:pPr>
            <w:r w:rsidRPr="004D590E">
              <w:rPr>
                <w:rFonts w:ascii="Calibri" w:hAnsi="Calibri" w:cs="Arial"/>
                <w:color w:val="000000"/>
                <w:sz w:val="22"/>
                <w:szCs w:val="22"/>
              </w:rPr>
              <w:t>In order to reduce the risk of “flare”, an anti-androgen may be administered beginning 3 days prior to GnRH anologue therapy and continuing for the first two to three weeks of treatment. This has been reported to prevent the sequelae of an initial rise in serum testosterone</w:t>
            </w:r>
          </w:p>
          <w:p w:rsidR="00282CE5" w:rsidRPr="004D590E" w:rsidRDefault="00282CE5" w:rsidP="00282CE5">
            <w:pPr>
              <w:numPr>
                <w:ilvl w:val="0"/>
                <w:numId w:val="12"/>
              </w:numPr>
              <w:shd w:val="clear" w:color="auto" w:fill="FFFFFF"/>
              <w:tabs>
                <w:tab w:val="clear" w:pos="720"/>
                <w:tab w:val="num" w:pos="297"/>
              </w:tabs>
              <w:spacing w:after="0" w:line="281" w:lineRule="atLeast"/>
              <w:ind w:left="297" w:hanging="283"/>
              <w:rPr>
                <w:rFonts w:ascii="Calibri" w:hAnsi="Calibri" w:cs="Arial"/>
                <w:color w:val="000000"/>
                <w:szCs w:val="22"/>
              </w:rPr>
            </w:pPr>
            <w:r w:rsidRPr="004D590E">
              <w:rPr>
                <w:rFonts w:ascii="Calibri" w:hAnsi="Calibri" w:cs="Arial"/>
                <w:color w:val="000000"/>
                <w:sz w:val="22"/>
                <w:szCs w:val="22"/>
              </w:rPr>
              <w:t>Reduction in glucose tolerance has been observed in men receiving GnRH analogues. This may manifest as diabetes or loss of glycaemic control in patients with pre-existing diabetes mellitus. Thus, monitoring of blood glucose levels should be considered.</w:t>
            </w:r>
          </w:p>
          <w:p w:rsidR="00282CE5" w:rsidRPr="004D590E" w:rsidRDefault="00282CE5" w:rsidP="00282CE5">
            <w:pPr>
              <w:numPr>
                <w:ilvl w:val="0"/>
                <w:numId w:val="12"/>
              </w:numPr>
              <w:shd w:val="clear" w:color="auto" w:fill="FFFFFF"/>
              <w:tabs>
                <w:tab w:val="clear" w:pos="720"/>
                <w:tab w:val="num" w:pos="297"/>
              </w:tabs>
              <w:spacing w:after="0" w:line="281" w:lineRule="atLeast"/>
              <w:ind w:left="297" w:hanging="283"/>
              <w:rPr>
                <w:rFonts w:ascii="Calibri" w:hAnsi="Calibri" w:cs="Arial"/>
                <w:color w:val="000000"/>
                <w:szCs w:val="22"/>
              </w:rPr>
            </w:pPr>
            <w:r w:rsidRPr="004D590E">
              <w:rPr>
                <w:rFonts w:ascii="Calibri" w:hAnsi="Calibri" w:cs="Arial"/>
                <w:color w:val="000000"/>
                <w:sz w:val="22"/>
                <w:szCs w:val="22"/>
              </w:rPr>
              <w:t xml:space="preserve">Myocardial infarction and cardiac failure were observed in a pharmaco-epidemiology study of GnRH analogues used in the treatment of prostate cancer. The risk appears to be increased when used in combination with anti-androgens </w:t>
            </w:r>
          </w:p>
          <w:p w:rsidR="00282CE5" w:rsidRPr="004D590E" w:rsidRDefault="00282CE5" w:rsidP="00282CE5">
            <w:pPr>
              <w:numPr>
                <w:ilvl w:val="0"/>
                <w:numId w:val="12"/>
              </w:numPr>
              <w:shd w:val="clear" w:color="auto" w:fill="FFFFFF"/>
              <w:tabs>
                <w:tab w:val="clear" w:pos="720"/>
                <w:tab w:val="num" w:pos="297"/>
              </w:tabs>
              <w:spacing w:after="0" w:line="281" w:lineRule="atLeast"/>
              <w:ind w:left="297" w:hanging="283"/>
              <w:rPr>
                <w:rFonts w:ascii="Calibri" w:hAnsi="Calibri" w:cs="Arial"/>
                <w:color w:val="000000"/>
                <w:szCs w:val="22"/>
              </w:rPr>
            </w:pPr>
            <w:r w:rsidRPr="004D590E">
              <w:rPr>
                <w:rFonts w:ascii="Calibri" w:hAnsi="Calibri" w:cs="Arial"/>
                <w:color w:val="000000"/>
                <w:sz w:val="22"/>
                <w:szCs w:val="22"/>
              </w:rPr>
              <w:t>GOSERELIN - The use of GnRH agonists may cause reduction in bone mineral density. In men, preliminary data suggest that the use of a bisphosphonate in combination with an GnRH analogues may reduce bone mineral loss. Particular caution is necessary in patients with additional risk factors for osteoporosis (e.g. chronic alcohol abusers, smokers, long-term therapy with anticonvulsants or corticosteroids, family history of osteoporosis).</w:t>
            </w:r>
          </w:p>
          <w:p w:rsidR="00282CE5" w:rsidRPr="004D590E" w:rsidRDefault="00282CE5" w:rsidP="00282CE5">
            <w:pPr>
              <w:numPr>
                <w:ilvl w:val="0"/>
                <w:numId w:val="12"/>
              </w:numPr>
              <w:shd w:val="clear" w:color="auto" w:fill="FFFFFF"/>
              <w:tabs>
                <w:tab w:val="clear" w:pos="720"/>
                <w:tab w:val="num" w:pos="297"/>
              </w:tabs>
              <w:spacing w:after="0" w:line="281" w:lineRule="atLeast"/>
              <w:ind w:left="297" w:hanging="283"/>
              <w:rPr>
                <w:rFonts w:ascii="Calibri" w:hAnsi="Calibri" w:cs="Arial"/>
                <w:color w:val="000000"/>
                <w:szCs w:val="22"/>
              </w:rPr>
            </w:pPr>
            <w:r w:rsidRPr="004D590E">
              <w:rPr>
                <w:rFonts w:ascii="Calibri" w:hAnsi="Calibri" w:cs="Arial"/>
                <w:color w:val="000000"/>
                <w:sz w:val="22"/>
                <w:szCs w:val="22"/>
              </w:rPr>
              <w:t>Treatment with goserelin may lead to positive reactions in anti-doping tests.</w:t>
            </w:r>
          </w:p>
        </w:tc>
      </w:tr>
      <w:tr w:rsidR="00282CE5" w:rsidRPr="004D590E" w:rsidTr="00282CE5">
        <w:trPr>
          <w:cantSplit/>
          <w:trHeight w:val="1134"/>
        </w:trPr>
        <w:tc>
          <w:tcPr>
            <w:tcW w:w="1843" w:type="dxa"/>
          </w:tcPr>
          <w:p w:rsidR="00282CE5" w:rsidRPr="004D590E" w:rsidRDefault="00282CE5" w:rsidP="00282CE5">
            <w:pPr>
              <w:pStyle w:val="mtrachead3"/>
              <w:keepNext w:val="0"/>
              <w:rPr>
                <w:rFonts w:ascii="Calibri" w:hAnsi="Calibri" w:cs="Arial"/>
                <w:snapToGrid/>
                <w:sz w:val="22"/>
                <w:szCs w:val="22"/>
              </w:rPr>
            </w:pPr>
            <w:r w:rsidRPr="004D590E">
              <w:rPr>
                <w:rFonts w:ascii="Calibri" w:hAnsi="Calibri" w:cs="Arial"/>
                <w:snapToGrid/>
                <w:sz w:val="22"/>
                <w:szCs w:val="22"/>
              </w:rPr>
              <w:lastRenderedPageBreak/>
              <w:t>Side Effects</w:t>
            </w:r>
          </w:p>
          <w:p w:rsidR="00282CE5" w:rsidRPr="004D590E" w:rsidRDefault="00282CE5" w:rsidP="00282CE5">
            <w:pPr>
              <w:spacing w:after="0"/>
              <w:rPr>
                <w:rFonts w:ascii="Calibri" w:hAnsi="Calibri" w:cs="Arial"/>
                <w:b/>
                <w:szCs w:val="22"/>
              </w:rPr>
            </w:pPr>
          </w:p>
        </w:tc>
        <w:tc>
          <w:tcPr>
            <w:tcW w:w="6946" w:type="dxa"/>
          </w:tcPr>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Glucose tolerance impaired</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Libido decreased</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Mood changes, depression</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Paraesthesia</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Spinal cord compression</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Cardiac failure, myocardial infarction (risk increased when combined with anti-androgens)</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Hot flush</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Blood pressure abnormal</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Hyperhidrosis</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Rash</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Bone pain</w:t>
            </w:r>
          </w:p>
          <w:p w:rsidR="00282CE5" w:rsidRPr="004D590E" w:rsidRDefault="00282CE5" w:rsidP="00282CE5">
            <w:pPr>
              <w:spacing w:after="0"/>
              <w:jc w:val="both"/>
              <w:rPr>
                <w:rFonts w:ascii="Calibri" w:hAnsi="Calibri" w:cs="Arial"/>
                <w:color w:val="000000"/>
                <w:szCs w:val="22"/>
                <w:shd w:val="clear" w:color="auto" w:fill="FFFFFF"/>
              </w:rPr>
            </w:pPr>
            <w:r w:rsidRPr="004D590E">
              <w:rPr>
                <w:rFonts w:ascii="Calibri" w:hAnsi="Calibri" w:cs="Arial"/>
                <w:color w:val="000000"/>
                <w:sz w:val="22"/>
                <w:szCs w:val="22"/>
                <w:shd w:val="clear" w:color="auto" w:fill="FFFFFF"/>
              </w:rPr>
              <w:t>Erectile dysfunction</w:t>
            </w:r>
          </w:p>
          <w:p w:rsidR="00282CE5" w:rsidRPr="004D590E" w:rsidRDefault="00282CE5" w:rsidP="00282CE5">
            <w:pPr>
              <w:spacing w:after="0"/>
              <w:jc w:val="both"/>
              <w:rPr>
                <w:rFonts w:ascii="Calibri" w:hAnsi="Calibri" w:cs="Arial"/>
                <w:b/>
                <w:szCs w:val="22"/>
              </w:rPr>
            </w:pPr>
            <w:r w:rsidRPr="004D590E">
              <w:rPr>
                <w:rFonts w:ascii="Calibri" w:hAnsi="Calibri" w:cs="Arial"/>
                <w:color w:val="000000"/>
                <w:sz w:val="22"/>
                <w:szCs w:val="22"/>
                <w:shd w:val="clear" w:color="auto" w:fill="FFFFFF"/>
              </w:rPr>
              <w:t>Gynaecomastia</w:t>
            </w:r>
          </w:p>
        </w:tc>
        <w:tc>
          <w:tcPr>
            <w:tcW w:w="5245" w:type="dxa"/>
          </w:tcPr>
          <w:p w:rsidR="00282CE5" w:rsidRPr="004D590E" w:rsidRDefault="00282CE5" w:rsidP="00282CE5">
            <w:pPr>
              <w:shd w:val="clear" w:color="auto" w:fill="FFFFFF"/>
              <w:spacing w:after="0"/>
              <w:rPr>
                <w:rFonts w:ascii="Calibri" w:hAnsi="Calibri" w:cs="Arial"/>
                <w:color w:val="000000"/>
                <w:szCs w:val="22"/>
              </w:rPr>
            </w:pPr>
            <w:r w:rsidRPr="004D590E">
              <w:rPr>
                <w:rFonts w:ascii="Calibri" w:hAnsi="Calibri" w:cs="Arial"/>
                <w:color w:val="000000"/>
                <w:sz w:val="22"/>
                <w:szCs w:val="22"/>
              </w:rPr>
              <w:t xml:space="preserve">Changes in blood lipids and alteration of glucose tolerance have also been reported which may affect diabetic control. </w:t>
            </w:r>
          </w:p>
          <w:p w:rsidR="00282CE5" w:rsidRPr="004D590E" w:rsidRDefault="00282CE5" w:rsidP="00282CE5">
            <w:pPr>
              <w:shd w:val="clear" w:color="auto" w:fill="FFFFFF"/>
              <w:spacing w:after="0"/>
              <w:rPr>
                <w:rFonts w:ascii="Calibri" w:hAnsi="Calibri" w:cs="Arial"/>
                <w:color w:val="000000"/>
                <w:sz w:val="10"/>
                <w:szCs w:val="10"/>
              </w:rPr>
            </w:pPr>
          </w:p>
          <w:p w:rsidR="00282CE5" w:rsidRPr="004D590E" w:rsidRDefault="00282CE5" w:rsidP="00282CE5">
            <w:pPr>
              <w:shd w:val="clear" w:color="auto" w:fill="FFFFFF"/>
              <w:spacing w:after="0"/>
              <w:rPr>
                <w:rFonts w:ascii="Calibri" w:hAnsi="Calibri" w:cs="Arial"/>
                <w:color w:val="000000"/>
                <w:szCs w:val="22"/>
              </w:rPr>
            </w:pPr>
            <w:r w:rsidRPr="004D590E">
              <w:rPr>
                <w:rFonts w:ascii="Calibri" w:hAnsi="Calibri" w:cs="Arial"/>
                <w:color w:val="000000"/>
                <w:sz w:val="22"/>
                <w:szCs w:val="22"/>
              </w:rPr>
              <w:t>Spinal fracture, paralysis, hypotension and worsening of depression have been reported</w:t>
            </w:r>
          </w:p>
          <w:p w:rsidR="00282CE5" w:rsidRPr="004D590E" w:rsidRDefault="00282CE5" w:rsidP="00282CE5">
            <w:pPr>
              <w:shd w:val="clear" w:color="auto" w:fill="FFFFFF"/>
              <w:spacing w:after="0"/>
              <w:rPr>
                <w:rFonts w:ascii="Calibri" w:hAnsi="Calibri" w:cs="Arial"/>
                <w:color w:val="000000"/>
                <w:sz w:val="10"/>
                <w:szCs w:val="10"/>
              </w:rPr>
            </w:pPr>
          </w:p>
          <w:p w:rsidR="00282CE5" w:rsidRPr="004D590E" w:rsidRDefault="00282CE5" w:rsidP="00282CE5">
            <w:pPr>
              <w:shd w:val="clear" w:color="auto" w:fill="FFFFFF"/>
              <w:spacing w:after="0"/>
              <w:rPr>
                <w:rFonts w:ascii="Calibri" w:hAnsi="Calibri" w:cs="Arial"/>
                <w:color w:val="000000"/>
                <w:szCs w:val="22"/>
              </w:rPr>
            </w:pPr>
            <w:r w:rsidRPr="004D590E">
              <w:rPr>
                <w:rFonts w:ascii="Calibri" w:hAnsi="Calibri" w:cs="Arial"/>
                <w:color w:val="000000"/>
                <w:sz w:val="22"/>
                <w:szCs w:val="22"/>
              </w:rPr>
              <w:t>Anaemia has been reported in patients receiving GnRH analogues</w:t>
            </w:r>
          </w:p>
          <w:p w:rsidR="00282CE5" w:rsidRPr="004D590E" w:rsidRDefault="00282CE5" w:rsidP="00282CE5">
            <w:pPr>
              <w:shd w:val="clear" w:color="auto" w:fill="FFFFFF"/>
              <w:spacing w:after="0"/>
              <w:rPr>
                <w:rFonts w:ascii="Calibri" w:hAnsi="Calibri" w:cs="Arial"/>
                <w:color w:val="000000"/>
                <w:sz w:val="10"/>
                <w:szCs w:val="10"/>
              </w:rPr>
            </w:pPr>
          </w:p>
          <w:p w:rsidR="00282CE5" w:rsidRPr="004D590E" w:rsidRDefault="00282CE5" w:rsidP="00282CE5">
            <w:pPr>
              <w:shd w:val="clear" w:color="auto" w:fill="FFFFFF"/>
              <w:spacing w:after="0"/>
              <w:rPr>
                <w:rFonts w:ascii="Calibri" w:hAnsi="Calibri" w:cs="Arial"/>
                <w:color w:val="000000"/>
                <w:szCs w:val="22"/>
              </w:rPr>
            </w:pPr>
            <w:r w:rsidRPr="004D590E">
              <w:rPr>
                <w:rFonts w:ascii="Calibri" w:hAnsi="Calibri" w:cs="Arial"/>
                <w:color w:val="000000"/>
                <w:sz w:val="22"/>
                <w:szCs w:val="22"/>
              </w:rPr>
              <w:t>Hypersensitivity reactions including rash, pruritus, urticaria, and rarely, wheezing or interstitial pneumonitis have also been reported</w:t>
            </w:r>
          </w:p>
          <w:p w:rsidR="00282CE5" w:rsidRPr="004D590E" w:rsidRDefault="00282CE5" w:rsidP="00282CE5">
            <w:pPr>
              <w:shd w:val="clear" w:color="auto" w:fill="FFFFFF"/>
              <w:spacing w:after="0"/>
              <w:rPr>
                <w:rFonts w:ascii="Calibri" w:hAnsi="Calibri" w:cs="Arial"/>
                <w:color w:val="000000"/>
                <w:sz w:val="10"/>
                <w:szCs w:val="10"/>
              </w:rPr>
            </w:pPr>
          </w:p>
          <w:p w:rsidR="00282CE5" w:rsidRPr="004D590E" w:rsidRDefault="00282CE5" w:rsidP="00282CE5">
            <w:pPr>
              <w:shd w:val="clear" w:color="auto" w:fill="FFFFFF"/>
              <w:spacing w:after="0"/>
              <w:rPr>
                <w:rFonts w:ascii="Calibri" w:hAnsi="Calibri" w:cs="Arial"/>
                <w:color w:val="000000"/>
                <w:szCs w:val="22"/>
              </w:rPr>
            </w:pPr>
            <w:r w:rsidRPr="004D590E">
              <w:rPr>
                <w:rFonts w:ascii="Calibri" w:hAnsi="Calibri" w:cs="Arial"/>
                <w:color w:val="000000"/>
                <w:sz w:val="22"/>
                <w:szCs w:val="22"/>
              </w:rPr>
              <w:t>A reduction in bone mass may occur with the use of GnRH agonists.</w:t>
            </w:r>
          </w:p>
          <w:p w:rsidR="00282CE5" w:rsidRDefault="00282CE5" w:rsidP="00282CE5">
            <w:pPr>
              <w:shd w:val="clear" w:color="auto" w:fill="FFFFFF"/>
              <w:spacing w:after="0"/>
              <w:rPr>
                <w:rFonts w:ascii="Calibri" w:hAnsi="Calibri" w:cs="Arial"/>
                <w:color w:val="000000"/>
                <w:sz w:val="10"/>
                <w:szCs w:val="10"/>
              </w:rPr>
            </w:pPr>
          </w:p>
          <w:p w:rsidR="00282CE5" w:rsidRPr="004D590E" w:rsidRDefault="00282CE5" w:rsidP="00282CE5">
            <w:pPr>
              <w:shd w:val="clear" w:color="auto" w:fill="FFFFFF"/>
              <w:spacing w:after="0"/>
              <w:rPr>
                <w:rFonts w:ascii="Calibri" w:hAnsi="Calibri" w:cs="Arial"/>
                <w:color w:val="000000"/>
                <w:szCs w:val="22"/>
              </w:rPr>
            </w:pPr>
            <w:r w:rsidRPr="004D590E">
              <w:rPr>
                <w:rFonts w:ascii="Calibri" w:hAnsi="Calibri" w:cs="Arial"/>
                <w:color w:val="000000"/>
                <w:sz w:val="22"/>
                <w:szCs w:val="22"/>
              </w:rPr>
              <w:t>In cases where a "tumour flare" occurs after leuprorelin therapy, an exacerbation may occur in any symptoms or signs due to disease, for example, bone pain, urinary obstruction, weakness of the lower extremities and paraesthesia. These symptoms subside on continuation of therapy.</w:t>
            </w:r>
          </w:p>
          <w:p w:rsidR="00282CE5" w:rsidRPr="004D590E" w:rsidRDefault="00282CE5" w:rsidP="00282CE5">
            <w:pPr>
              <w:shd w:val="clear" w:color="auto" w:fill="FFFFFF"/>
              <w:spacing w:after="0"/>
              <w:rPr>
                <w:rFonts w:ascii="Calibri" w:hAnsi="Calibri" w:cs="Arial"/>
                <w:color w:val="000000"/>
                <w:szCs w:val="22"/>
              </w:rPr>
            </w:pPr>
            <w:r w:rsidRPr="004D590E">
              <w:rPr>
                <w:rFonts w:ascii="Calibri" w:hAnsi="Calibri" w:cs="Arial"/>
                <w:color w:val="000000"/>
                <w:sz w:val="22"/>
                <w:szCs w:val="22"/>
              </w:rPr>
              <w:t>Impotence and decreased libido will be expected with PROSTAP SR therapy.</w:t>
            </w:r>
          </w:p>
          <w:p w:rsidR="00282CE5" w:rsidRPr="004D590E" w:rsidRDefault="00282CE5" w:rsidP="00282CE5">
            <w:pPr>
              <w:shd w:val="clear" w:color="auto" w:fill="FFFFFF"/>
              <w:spacing w:after="0"/>
              <w:rPr>
                <w:rFonts w:ascii="Calibri" w:hAnsi="Calibri" w:cs="Arial"/>
                <w:color w:val="000000"/>
                <w:sz w:val="10"/>
                <w:szCs w:val="10"/>
              </w:rPr>
            </w:pPr>
          </w:p>
          <w:p w:rsidR="00282CE5" w:rsidRPr="004D590E" w:rsidRDefault="00282CE5" w:rsidP="00282CE5">
            <w:pPr>
              <w:shd w:val="clear" w:color="auto" w:fill="FFFFFF"/>
              <w:spacing w:after="0"/>
              <w:rPr>
                <w:rFonts w:ascii="Calibri" w:hAnsi="Calibri" w:cs="Arial"/>
                <w:color w:val="000000"/>
                <w:szCs w:val="22"/>
              </w:rPr>
            </w:pPr>
            <w:r w:rsidRPr="004D590E">
              <w:rPr>
                <w:rFonts w:ascii="Calibri" w:hAnsi="Calibri" w:cs="Arial"/>
                <w:color w:val="000000"/>
                <w:sz w:val="22"/>
                <w:szCs w:val="22"/>
              </w:rPr>
              <w:t>The administration of leuproelin is often associated with hot flushes and sometimes sweating.</w:t>
            </w:r>
          </w:p>
        </w:tc>
      </w:tr>
      <w:tr w:rsidR="00282CE5" w:rsidRPr="004D590E" w:rsidTr="00282CE5">
        <w:tc>
          <w:tcPr>
            <w:tcW w:w="1843" w:type="dxa"/>
          </w:tcPr>
          <w:p w:rsidR="00282CE5" w:rsidRPr="004D590E" w:rsidRDefault="00282CE5" w:rsidP="00282CE5">
            <w:pPr>
              <w:spacing w:after="0"/>
              <w:rPr>
                <w:rFonts w:ascii="Calibri" w:hAnsi="Calibri" w:cs="Arial"/>
                <w:b/>
                <w:szCs w:val="22"/>
              </w:rPr>
            </w:pPr>
            <w:r w:rsidRPr="004D590E">
              <w:rPr>
                <w:rFonts w:ascii="Calibri" w:hAnsi="Calibri" w:cs="Arial"/>
                <w:b/>
                <w:sz w:val="22"/>
                <w:szCs w:val="22"/>
              </w:rPr>
              <w:t>Drug Interactions</w:t>
            </w:r>
          </w:p>
        </w:tc>
        <w:tc>
          <w:tcPr>
            <w:tcW w:w="6946" w:type="dxa"/>
          </w:tcPr>
          <w:p w:rsidR="00282CE5" w:rsidRPr="004D590E" w:rsidRDefault="00282CE5" w:rsidP="00282CE5">
            <w:pPr>
              <w:spacing w:after="0"/>
              <w:jc w:val="both"/>
              <w:rPr>
                <w:rFonts w:ascii="Calibri" w:hAnsi="Calibri" w:cs="Arial"/>
                <w:b/>
                <w:szCs w:val="22"/>
              </w:rPr>
            </w:pPr>
            <w:r w:rsidRPr="004D590E">
              <w:rPr>
                <w:rFonts w:ascii="Calibri" w:hAnsi="Calibri" w:cs="Arial"/>
                <w:color w:val="000000"/>
                <w:sz w:val="22"/>
                <w:szCs w:val="22"/>
                <w:shd w:val="clear" w:color="auto" w:fill="FFFFFF"/>
              </w:rPr>
              <w:t>Not known</w:t>
            </w:r>
          </w:p>
        </w:tc>
        <w:tc>
          <w:tcPr>
            <w:tcW w:w="5245" w:type="dxa"/>
          </w:tcPr>
          <w:p w:rsidR="00282CE5" w:rsidRPr="004D590E" w:rsidRDefault="00282CE5" w:rsidP="00282CE5">
            <w:pPr>
              <w:spacing w:after="0"/>
              <w:jc w:val="both"/>
              <w:rPr>
                <w:rFonts w:ascii="Calibri" w:hAnsi="Calibri" w:cs="Arial"/>
                <w:b/>
                <w:szCs w:val="22"/>
              </w:rPr>
            </w:pPr>
            <w:r w:rsidRPr="004D590E">
              <w:rPr>
                <w:rFonts w:ascii="Calibri" w:hAnsi="Calibri" w:cs="Arial"/>
                <w:color w:val="000000"/>
                <w:sz w:val="22"/>
                <w:szCs w:val="22"/>
                <w:shd w:val="clear" w:color="auto" w:fill="FFFFFF"/>
              </w:rPr>
              <w:t>No interaction studies have been performed.</w:t>
            </w:r>
          </w:p>
        </w:tc>
      </w:tr>
    </w:tbl>
    <w:p w:rsidR="00282CE5" w:rsidRPr="00E362C5" w:rsidRDefault="00282CE5" w:rsidP="00282CE5">
      <w:pPr>
        <w:jc w:val="both"/>
        <w:rPr>
          <w:rFonts w:ascii="Calibri" w:hAnsi="Calibri"/>
          <w:b/>
        </w:rPr>
      </w:pPr>
    </w:p>
    <w:p w:rsidR="007C30B0" w:rsidRDefault="007C30B0" w:rsidP="007C30B0">
      <w:pPr>
        <w:spacing w:line="276" w:lineRule="auto"/>
        <w:rPr>
          <w:rFonts w:ascii="Calibri" w:hAnsi="Calibri" w:cs="Calibri"/>
          <w:b/>
          <w:bCs/>
          <w:sz w:val="22"/>
          <w:szCs w:val="22"/>
          <w:u w:val="single"/>
        </w:rPr>
      </w:pPr>
    </w:p>
    <w:p w:rsidR="00282CE5" w:rsidRDefault="00282CE5" w:rsidP="007C30B0">
      <w:pPr>
        <w:spacing w:line="276" w:lineRule="auto"/>
        <w:rPr>
          <w:rFonts w:ascii="Calibri" w:hAnsi="Calibri" w:cs="Calibri"/>
          <w:b/>
          <w:bCs/>
          <w:sz w:val="22"/>
          <w:szCs w:val="22"/>
          <w:u w:val="single"/>
        </w:rPr>
        <w:sectPr w:rsidR="00282CE5" w:rsidSect="007133DF">
          <w:pgSz w:w="16838" w:h="11906" w:orient="landscape"/>
          <w:pgMar w:top="1440" w:right="1440" w:bottom="1440" w:left="1440" w:header="709" w:footer="709" w:gutter="0"/>
          <w:cols w:space="708"/>
          <w:docGrid w:linePitch="360"/>
        </w:sectPr>
      </w:pPr>
    </w:p>
    <w:tbl>
      <w:tblPr>
        <w:tblpPr w:leftFromText="180" w:rightFromText="180" w:tblpY="4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7497"/>
      </w:tblGrid>
      <w:tr w:rsidR="00282CE5" w:rsidRPr="004D590E" w:rsidTr="00C80D58">
        <w:tc>
          <w:tcPr>
            <w:tcW w:w="9406" w:type="dxa"/>
            <w:gridSpan w:val="2"/>
          </w:tcPr>
          <w:p w:rsidR="00282CE5" w:rsidRPr="004D590E" w:rsidRDefault="00282CE5" w:rsidP="00C80D58">
            <w:pPr>
              <w:tabs>
                <w:tab w:val="right" w:pos="360"/>
                <w:tab w:val="left" w:pos="540"/>
              </w:tabs>
              <w:spacing w:after="0"/>
              <w:jc w:val="center"/>
              <w:rPr>
                <w:rFonts w:ascii="Calibri" w:hAnsi="Calibri" w:cs="Arial"/>
                <w:b/>
                <w:snapToGrid w:val="0"/>
                <w:color w:val="000000"/>
                <w:szCs w:val="22"/>
                <w:lang w:eastAsia="en-US"/>
              </w:rPr>
            </w:pPr>
            <w:r w:rsidRPr="004D590E">
              <w:rPr>
                <w:rFonts w:ascii="Calibri" w:hAnsi="Calibri" w:cs="Arial"/>
                <w:b/>
                <w:snapToGrid w:val="0"/>
                <w:color w:val="000000"/>
                <w:sz w:val="22"/>
                <w:szCs w:val="22"/>
                <w:lang w:eastAsia="en-US"/>
              </w:rPr>
              <w:lastRenderedPageBreak/>
              <w:t>Administration &amp; Management</w:t>
            </w:r>
          </w:p>
        </w:tc>
      </w:tr>
      <w:tr w:rsidR="00282CE5" w:rsidRPr="004D590E" w:rsidTr="00C80D58">
        <w:tc>
          <w:tcPr>
            <w:tcW w:w="9406" w:type="dxa"/>
            <w:gridSpan w:val="2"/>
          </w:tcPr>
          <w:p w:rsidR="00282CE5" w:rsidRPr="004D590E" w:rsidRDefault="00282CE5" w:rsidP="00C80D58">
            <w:pPr>
              <w:tabs>
                <w:tab w:val="right" w:pos="360"/>
                <w:tab w:val="left" w:pos="540"/>
              </w:tabs>
              <w:spacing w:after="0"/>
              <w:jc w:val="both"/>
              <w:rPr>
                <w:rFonts w:ascii="Calibri" w:hAnsi="Calibri" w:cs="Arial"/>
                <w:b/>
                <w:snapToGrid w:val="0"/>
                <w:color w:val="000000"/>
                <w:szCs w:val="22"/>
                <w:lang w:eastAsia="en-US"/>
              </w:rPr>
            </w:pPr>
            <w:r w:rsidRPr="004D590E">
              <w:rPr>
                <w:rFonts w:ascii="Calibri" w:hAnsi="Calibri" w:cs="Arial"/>
                <w:b/>
                <w:iCs/>
                <w:color w:val="000000"/>
                <w:sz w:val="22"/>
                <w:szCs w:val="22"/>
              </w:rPr>
              <w:t>Clinical Assessment</w:t>
            </w:r>
          </w:p>
        </w:tc>
      </w:tr>
      <w:tr w:rsidR="00282CE5" w:rsidRPr="004D590E" w:rsidTr="00C80D58">
        <w:tc>
          <w:tcPr>
            <w:tcW w:w="9406" w:type="dxa"/>
            <w:gridSpan w:val="2"/>
          </w:tcPr>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 xml:space="preserve">In general the patient should be asked about appetite, weight, energy, and general well being and specifically about pain, particularly bone pain, and lower urinary tract symptoms.  </w:t>
            </w:r>
          </w:p>
          <w:p w:rsidR="00282CE5" w:rsidRPr="004D590E" w:rsidRDefault="00282CE5" w:rsidP="00C80D58">
            <w:pPr>
              <w:spacing w:after="0"/>
              <w:jc w:val="both"/>
              <w:rPr>
                <w:rFonts w:ascii="Calibri" w:hAnsi="Calibri" w:cs="Arial"/>
                <w:color w:val="000000"/>
                <w:sz w:val="10"/>
                <w:szCs w:val="10"/>
              </w:rPr>
            </w:pPr>
          </w:p>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 xml:space="preserve">Any problems should precipitate further history, examination, investigation and treatment or request for specialist advice as appropriate.  </w:t>
            </w:r>
          </w:p>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 xml:space="preserve">This type of monitoring is to be done at each visit either to the GP or urologist.  </w:t>
            </w:r>
          </w:p>
          <w:p w:rsidR="00282CE5" w:rsidRPr="004D590E" w:rsidRDefault="00282CE5" w:rsidP="00C80D58">
            <w:pPr>
              <w:spacing w:after="0"/>
              <w:jc w:val="both"/>
              <w:rPr>
                <w:rFonts w:ascii="Calibri" w:hAnsi="Calibri" w:cs="Arial"/>
                <w:color w:val="000000"/>
                <w:sz w:val="10"/>
                <w:szCs w:val="10"/>
              </w:rPr>
            </w:pPr>
          </w:p>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Routine rectal examination is unnecessary unless the history suggests this may be helpful.</w:t>
            </w:r>
          </w:p>
          <w:p w:rsidR="00282CE5" w:rsidRPr="004D590E" w:rsidRDefault="00282CE5" w:rsidP="00C80D58">
            <w:pPr>
              <w:spacing w:after="0"/>
              <w:jc w:val="both"/>
              <w:rPr>
                <w:rFonts w:ascii="Calibri" w:hAnsi="Calibri" w:cs="Arial"/>
                <w:b/>
                <w:snapToGrid w:val="0"/>
                <w:color w:val="000000"/>
                <w:sz w:val="10"/>
                <w:szCs w:val="10"/>
                <w:lang w:eastAsia="en-US"/>
              </w:rPr>
            </w:pPr>
          </w:p>
        </w:tc>
      </w:tr>
      <w:tr w:rsidR="00282CE5" w:rsidRPr="004D590E" w:rsidTr="00C80D58">
        <w:tc>
          <w:tcPr>
            <w:tcW w:w="9406" w:type="dxa"/>
            <w:gridSpan w:val="2"/>
          </w:tcPr>
          <w:p w:rsidR="00282CE5" w:rsidRPr="004D590E" w:rsidRDefault="00282CE5" w:rsidP="00C80D58">
            <w:pPr>
              <w:spacing w:after="0"/>
              <w:jc w:val="both"/>
              <w:rPr>
                <w:rFonts w:ascii="Calibri" w:hAnsi="Calibri" w:cs="Arial"/>
                <w:b/>
                <w:color w:val="000000"/>
                <w:szCs w:val="22"/>
              </w:rPr>
            </w:pPr>
            <w:r w:rsidRPr="004D590E">
              <w:rPr>
                <w:rFonts w:ascii="Calibri" w:hAnsi="Calibri" w:cs="Arial"/>
                <w:b/>
                <w:iCs/>
                <w:color w:val="000000"/>
                <w:sz w:val="22"/>
                <w:szCs w:val="22"/>
              </w:rPr>
              <w:t>Laboratory assessment:</w:t>
            </w:r>
            <w:r w:rsidRPr="004D590E">
              <w:rPr>
                <w:rFonts w:ascii="Calibri" w:hAnsi="Calibri" w:cs="Arial"/>
                <w:b/>
                <w:color w:val="000000"/>
                <w:sz w:val="22"/>
                <w:szCs w:val="22"/>
              </w:rPr>
              <w:t xml:space="preserve">  </w:t>
            </w:r>
          </w:p>
        </w:tc>
      </w:tr>
      <w:tr w:rsidR="00282CE5" w:rsidRPr="004D590E" w:rsidTr="00C80D58">
        <w:tc>
          <w:tcPr>
            <w:tcW w:w="9406" w:type="dxa"/>
            <w:gridSpan w:val="2"/>
          </w:tcPr>
          <w:p w:rsidR="00282CE5" w:rsidRPr="004D590E" w:rsidRDefault="00282CE5" w:rsidP="00C80D58">
            <w:pPr>
              <w:tabs>
                <w:tab w:val="right" w:pos="360"/>
                <w:tab w:val="left" w:pos="540"/>
              </w:tabs>
              <w:spacing w:after="0"/>
              <w:jc w:val="both"/>
              <w:rPr>
                <w:rFonts w:ascii="Calibri" w:hAnsi="Calibri" w:cs="Arial"/>
                <w:snapToGrid w:val="0"/>
                <w:color w:val="000000"/>
                <w:szCs w:val="22"/>
                <w:lang w:eastAsia="en-US"/>
              </w:rPr>
            </w:pPr>
            <w:r w:rsidRPr="004D590E">
              <w:rPr>
                <w:rFonts w:ascii="Calibri" w:hAnsi="Calibri" w:cs="Arial"/>
                <w:snapToGrid w:val="0"/>
                <w:color w:val="000000"/>
                <w:sz w:val="22"/>
                <w:szCs w:val="22"/>
                <w:lang w:eastAsia="en-US"/>
              </w:rPr>
              <w:t xml:space="preserve">Administer the injection and monitor PSA as requested by the consultant.  </w:t>
            </w:r>
          </w:p>
          <w:p w:rsidR="00282CE5" w:rsidRPr="004D590E" w:rsidRDefault="00282CE5" w:rsidP="00C80D58">
            <w:pPr>
              <w:spacing w:after="0"/>
              <w:jc w:val="both"/>
              <w:rPr>
                <w:rFonts w:ascii="Calibri" w:hAnsi="Calibri" w:cs="Arial"/>
                <w:snapToGrid w:val="0"/>
                <w:color w:val="000000"/>
                <w:sz w:val="10"/>
                <w:szCs w:val="10"/>
                <w:lang w:eastAsia="en-US"/>
              </w:rPr>
            </w:pPr>
          </w:p>
          <w:p w:rsidR="00282CE5" w:rsidRPr="004D590E" w:rsidRDefault="00282CE5" w:rsidP="00C80D58">
            <w:pPr>
              <w:spacing w:after="0"/>
              <w:jc w:val="both"/>
              <w:rPr>
                <w:rFonts w:ascii="Calibri" w:hAnsi="Calibri" w:cs="Arial"/>
                <w:b/>
                <w:iCs/>
                <w:color w:val="000000"/>
                <w:szCs w:val="22"/>
              </w:rPr>
            </w:pPr>
            <w:r w:rsidRPr="004D590E">
              <w:rPr>
                <w:rFonts w:ascii="Calibri" w:hAnsi="Calibri" w:cs="Arial"/>
                <w:snapToGrid w:val="0"/>
                <w:color w:val="000000"/>
                <w:sz w:val="22"/>
                <w:szCs w:val="22"/>
                <w:lang w:eastAsia="en-US"/>
              </w:rPr>
              <w:t>All results must be recorded on the patients record and reported to the consultant</w:t>
            </w:r>
          </w:p>
          <w:p w:rsidR="00282CE5" w:rsidRPr="004D590E" w:rsidRDefault="00282CE5" w:rsidP="00C80D58">
            <w:pPr>
              <w:tabs>
                <w:tab w:val="right" w:pos="360"/>
                <w:tab w:val="left" w:pos="540"/>
              </w:tabs>
              <w:spacing w:after="0"/>
              <w:jc w:val="both"/>
              <w:rPr>
                <w:rFonts w:ascii="Calibri" w:hAnsi="Calibri" w:cs="Arial"/>
                <w:color w:val="000000"/>
                <w:sz w:val="10"/>
                <w:szCs w:val="10"/>
              </w:rPr>
            </w:pPr>
          </w:p>
          <w:p w:rsidR="00282CE5" w:rsidRPr="004D590E" w:rsidRDefault="00282CE5" w:rsidP="00C80D58">
            <w:pPr>
              <w:tabs>
                <w:tab w:val="right" w:pos="360"/>
                <w:tab w:val="left" w:pos="540"/>
              </w:tabs>
              <w:spacing w:after="0"/>
              <w:jc w:val="both"/>
              <w:rPr>
                <w:rFonts w:ascii="Calibri" w:hAnsi="Calibri" w:cs="Arial"/>
                <w:color w:val="000000"/>
                <w:szCs w:val="22"/>
              </w:rPr>
            </w:pPr>
            <w:r w:rsidRPr="004D590E">
              <w:rPr>
                <w:rFonts w:ascii="Calibri" w:hAnsi="Calibri" w:cs="Arial"/>
                <w:color w:val="000000"/>
                <w:sz w:val="22"/>
                <w:szCs w:val="22"/>
              </w:rPr>
              <w:t xml:space="preserve">Follow-up in men with prostate cancer relies heavily on regular PSA testing.  </w:t>
            </w:r>
          </w:p>
          <w:p w:rsidR="00282CE5" w:rsidRPr="004D590E" w:rsidRDefault="00282CE5" w:rsidP="00C80D58">
            <w:pPr>
              <w:tabs>
                <w:tab w:val="right" w:pos="360"/>
                <w:tab w:val="left" w:pos="540"/>
              </w:tabs>
              <w:spacing w:after="0"/>
              <w:jc w:val="both"/>
              <w:rPr>
                <w:rFonts w:ascii="Calibri" w:hAnsi="Calibri" w:cs="Arial"/>
                <w:color w:val="000000"/>
                <w:sz w:val="10"/>
                <w:szCs w:val="10"/>
              </w:rPr>
            </w:pPr>
          </w:p>
          <w:p w:rsidR="00282CE5" w:rsidRPr="004D590E" w:rsidRDefault="00282CE5" w:rsidP="00C80D58">
            <w:pPr>
              <w:tabs>
                <w:tab w:val="right" w:pos="360"/>
                <w:tab w:val="left" w:pos="540"/>
              </w:tabs>
              <w:spacing w:after="0"/>
              <w:jc w:val="both"/>
              <w:rPr>
                <w:rFonts w:ascii="Calibri" w:hAnsi="Calibri" w:cs="Arial"/>
                <w:color w:val="000000"/>
                <w:szCs w:val="22"/>
              </w:rPr>
            </w:pPr>
            <w:r w:rsidRPr="004D590E">
              <w:rPr>
                <w:rFonts w:ascii="Calibri" w:hAnsi="Calibri" w:cs="Arial"/>
                <w:color w:val="000000"/>
                <w:sz w:val="22"/>
                <w:szCs w:val="22"/>
              </w:rPr>
              <w:t xml:space="preserve">The frequency of testing varies between individuals and with the course of the disease.  </w:t>
            </w:r>
          </w:p>
          <w:p w:rsidR="00282CE5" w:rsidRPr="004D590E" w:rsidRDefault="00282CE5" w:rsidP="00C80D58">
            <w:pPr>
              <w:tabs>
                <w:tab w:val="right" w:pos="360"/>
                <w:tab w:val="left" w:pos="540"/>
              </w:tabs>
              <w:spacing w:after="0"/>
              <w:jc w:val="both"/>
              <w:rPr>
                <w:rFonts w:ascii="Calibri" w:hAnsi="Calibri" w:cs="Arial"/>
                <w:color w:val="000000"/>
                <w:sz w:val="10"/>
                <w:szCs w:val="10"/>
              </w:rPr>
            </w:pPr>
          </w:p>
          <w:p w:rsidR="00282CE5" w:rsidRPr="004D590E" w:rsidRDefault="00282CE5" w:rsidP="00C80D58">
            <w:pPr>
              <w:tabs>
                <w:tab w:val="right" w:pos="360"/>
                <w:tab w:val="left" w:pos="540"/>
              </w:tabs>
              <w:spacing w:after="0"/>
              <w:jc w:val="both"/>
              <w:rPr>
                <w:rFonts w:ascii="Calibri" w:hAnsi="Calibri" w:cs="Arial"/>
                <w:color w:val="000000"/>
                <w:szCs w:val="22"/>
              </w:rPr>
            </w:pPr>
            <w:r w:rsidRPr="004D590E">
              <w:rPr>
                <w:rFonts w:ascii="Calibri" w:hAnsi="Calibri" w:cs="Arial"/>
                <w:color w:val="000000"/>
                <w:sz w:val="22"/>
                <w:szCs w:val="22"/>
              </w:rPr>
              <w:t xml:space="preserve">Initial testing is 6 monthly, but, in men with stable disease, an annual PSA check is all that is required.  </w:t>
            </w:r>
          </w:p>
          <w:p w:rsidR="00282CE5" w:rsidRPr="004D590E" w:rsidRDefault="00282CE5" w:rsidP="00C80D58">
            <w:pPr>
              <w:tabs>
                <w:tab w:val="right" w:pos="360"/>
                <w:tab w:val="left" w:pos="540"/>
              </w:tabs>
              <w:spacing w:after="0"/>
              <w:jc w:val="both"/>
              <w:rPr>
                <w:rFonts w:ascii="Calibri" w:hAnsi="Calibri" w:cs="Arial"/>
                <w:color w:val="000000"/>
                <w:sz w:val="10"/>
                <w:szCs w:val="10"/>
              </w:rPr>
            </w:pPr>
          </w:p>
          <w:p w:rsidR="00282CE5" w:rsidRPr="004D590E" w:rsidRDefault="00282CE5" w:rsidP="00C80D58">
            <w:pPr>
              <w:tabs>
                <w:tab w:val="right" w:pos="360"/>
                <w:tab w:val="left" w:pos="540"/>
              </w:tabs>
              <w:spacing w:after="0"/>
              <w:jc w:val="both"/>
              <w:rPr>
                <w:rFonts w:ascii="Calibri" w:hAnsi="Calibri" w:cs="Arial"/>
                <w:color w:val="000000"/>
                <w:szCs w:val="22"/>
              </w:rPr>
            </w:pPr>
            <w:r w:rsidRPr="004D590E">
              <w:rPr>
                <w:rFonts w:ascii="Calibri" w:hAnsi="Calibri" w:cs="Arial"/>
                <w:color w:val="000000"/>
                <w:sz w:val="22"/>
                <w:szCs w:val="22"/>
              </w:rPr>
              <w:t xml:space="preserve">Other laboratory tests are not required unless clinically indicated.  </w:t>
            </w:r>
          </w:p>
          <w:p w:rsidR="00282CE5" w:rsidRPr="004D590E" w:rsidRDefault="00282CE5" w:rsidP="00C80D58">
            <w:pPr>
              <w:tabs>
                <w:tab w:val="right" w:pos="360"/>
                <w:tab w:val="left" w:pos="540"/>
              </w:tabs>
              <w:spacing w:after="0"/>
              <w:jc w:val="both"/>
              <w:rPr>
                <w:rFonts w:ascii="Calibri" w:hAnsi="Calibri" w:cs="Arial"/>
                <w:color w:val="000000"/>
                <w:sz w:val="10"/>
                <w:szCs w:val="10"/>
              </w:rPr>
            </w:pPr>
          </w:p>
          <w:p w:rsidR="00282CE5" w:rsidRPr="004D590E" w:rsidRDefault="00282CE5" w:rsidP="00C80D58">
            <w:pPr>
              <w:tabs>
                <w:tab w:val="right" w:pos="360"/>
                <w:tab w:val="left" w:pos="540"/>
              </w:tabs>
              <w:spacing w:after="0"/>
              <w:jc w:val="both"/>
              <w:rPr>
                <w:rFonts w:ascii="Calibri" w:hAnsi="Calibri" w:cs="Arial"/>
                <w:color w:val="000000"/>
                <w:szCs w:val="22"/>
              </w:rPr>
            </w:pPr>
            <w:r w:rsidRPr="004D590E">
              <w:rPr>
                <w:rFonts w:ascii="Calibri" w:hAnsi="Calibri" w:cs="Arial"/>
                <w:color w:val="000000"/>
                <w:sz w:val="22"/>
                <w:szCs w:val="22"/>
              </w:rPr>
              <w:t xml:space="preserve">A schedule for the frequency of PSA monitoring should be determined by the urologist on discharge if there has been a good response to treatment.   </w:t>
            </w:r>
          </w:p>
          <w:p w:rsidR="00282CE5" w:rsidRPr="004D590E" w:rsidRDefault="00282CE5" w:rsidP="00C80D58">
            <w:pPr>
              <w:tabs>
                <w:tab w:val="right" w:pos="360"/>
                <w:tab w:val="left" w:pos="540"/>
              </w:tabs>
              <w:spacing w:after="0"/>
              <w:jc w:val="both"/>
              <w:rPr>
                <w:rFonts w:ascii="Calibri" w:hAnsi="Calibri" w:cs="Arial"/>
                <w:color w:val="000000"/>
                <w:sz w:val="10"/>
                <w:szCs w:val="10"/>
              </w:rPr>
            </w:pPr>
          </w:p>
          <w:p w:rsidR="00282CE5" w:rsidRPr="004D590E" w:rsidRDefault="00282CE5" w:rsidP="00C80D58">
            <w:pPr>
              <w:tabs>
                <w:tab w:val="right" w:pos="360"/>
                <w:tab w:val="left" w:pos="540"/>
              </w:tabs>
              <w:spacing w:after="0"/>
              <w:jc w:val="both"/>
              <w:rPr>
                <w:rFonts w:ascii="Calibri" w:hAnsi="Calibri" w:cs="Arial"/>
                <w:color w:val="000000"/>
                <w:szCs w:val="22"/>
              </w:rPr>
            </w:pPr>
            <w:r w:rsidRPr="004D590E">
              <w:rPr>
                <w:rFonts w:ascii="Calibri" w:hAnsi="Calibri" w:cs="Arial"/>
                <w:color w:val="000000"/>
                <w:sz w:val="22"/>
                <w:szCs w:val="22"/>
              </w:rPr>
              <w:t xml:space="preserve">Also threshold levels of PSA elevation for urgent referral back to the urologist will be determined at the time of discharge.  </w:t>
            </w:r>
          </w:p>
          <w:p w:rsidR="00282CE5" w:rsidRPr="004D590E" w:rsidRDefault="00282CE5" w:rsidP="00C80D58">
            <w:pPr>
              <w:tabs>
                <w:tab w:val="right" w:pos="360"/>
                <w:tab w:val="left" w:pos="540"/>
              </w:tabs>
              <w:spacing w:after="0"/>
              <w:jc w:val="both"/>
              <w:rPr>
                <w:rFonts w:ascii="Calibri" w:hAnsi="Calibri" w:cs="Arial"/>
                <w:color w:val="000000"/>
                <w:sz w:val="10"/>
                <w:szCs w:val="10"/>
              </w:rPr>
            </w:pPr>
          </w:p>
          <w:p w:rsidR="00282CE5" w:rsidRPr="004D590E" w:rsidRDefault="00282CE5" w:rsidP="00C80D58">
            <w:pPr>
              <w:spacing w:after="0"/>
              <w:jc w:val="both"/>
              <w:rPr>
                <w:rFonts w:ascii="Calibri" w:hAnsi="Calibri" w:cs="Arial"/>
                <w:b/>
                <w:iCs/>
                <w:color w:val="000000"/>
                <w:szCs w:val="22"/>
              </w:rPr>
            </w:pPr>
            <w:r w:rsidRPr="004D590E">
              <w:rPr>
                <w:rFonts w:ascii="Calibri" w:hAnsi="Calibri" w:cs="Arial"/>
                <w:color w:val="000000"/>
                <w:sz w:val="22"/>
                <w:szCs w:val="22"/>
              </w:rPr>
              <w:t>This arrangement will be flexible depending on response to treatment.</w:t>
            </w:r>
          </w:p>
        </w:tc>
      </w:tr>
      <w:tr w:rsidR="00282CE5" w:rsidRPr="004D590E" w:rsidTr="00C80D58">
        <w:tc>
          <w:tcPr>
            <w:tcW w:w="9406" w:type="dxa"/>
            <w:gridSpan w:val="2"/>
          </w:tcPr>
          <w:p w:rsidR="00282CE5" w:rsidRPr="004D590E" w:rsidRDefault="00282CE5" w:rsidP="00C80D58">
            <w:pPr>
              <w:pStyle w:val="Heading7"/>
              <w:spacing w:before="0" w:after="0"/>
              <w:rPr>
                <w:rFonts w:ascii="Calibri" w:hAnsi="Calibri" w:cs="Arial"/>
                <w:b/>
                <w:bCs/>
                <w:color w:val="000000"/>
                <w:szCs w:val="22"/>
              </w:rPr>
            </w:pPr>
            <w:r w:rsidRPr="004D590E">
              <w:rPr>
                <w:rFonts w:ascii="Calibri" w:hAnsi="Calibri" w:cs="Arial"/>
                <w:b/>
                <w:bCs/>
                <w:color w:val="000000"/>
                <w:sz w:val="22"/>
                <w:szCs w:val="22"/>
              </w:rPr>
              <w:t>Arrangements in case of problems occurring</w:t>
            </w:r>
          </w:p>
        </w:tc>
      </w:tr>
      <w:tr w:rsidR="00282CE5" w:rsidRPr="004D590E" w:rsidTr="00C80D58">
        <w:tc>
          <w:tcPr>
            <w:tcW w:w="1762" w:type="dxa"/>
          </w:tcPr>
          <w:p w:rsidR="00282CE5" w:rsidRPr="004D590E" w:rsidRDefault="00282CE5" w:rsidP="00C80D58">
            <w:pPr>
              <w:tabs>
                <w:tab w:val="right" w:pos="360"/>
                <w:tab w:val="left" w:pos="540"/>
              </w:tabs>
              <w:spacing w:after="0"/>
              <w:jc w:val="both"/>
              <w:rPr>
                <w:rFonts w:ascii="Calibri" w:hAnsi="Calibri" w:cs="Arial"/>
                <w:snapToGrid w:val="0"/>
                <w:color w:val="000000"/>
                <w:szCs w:val="22"/>
                <w:lang w:eastAsia="en-US"/>
              </w:rPr>
            </w:pPr>
          </w:p>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Decrease in PSA</w:t>
            </w:r>
          </w:p>
        </w:tc>
        <w:tc>
          <w:tcPr>
            <w:tcW w:w="7644" w:type="dxa"/>
          </w:tcPr>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 xml:space="preserve">PSA usually falls to a nadir within a few months of starting hormone therapy.  </w:t>
            </w:r>
          </w:p>
          <w:p w:rsidR="00282CE5" w:rsidRPr="004D590E" w:rsidRDefault="00282CE5" w:rsidP="00C80D58">
            <w:pPr>
              <w:spacing w:after="0"/>
              <w:jc w:val="both"/>
              <w:rPr>
                <w:rFonts w:ascii="Calibri" w:hAnsi="Calibri" w:cs="Arial"/>
                <w:color w:val="000000"/>
                <w:sz w:val="10"/>
                <w:szCs w:val="10"/>
              </w:rPr>
            </w:pPr>
          </w:p>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 xml:space="preserve">If PSA does not fall significantly or the nadir is </w:t>
            </w:r>
            <w:r w:rsidRPr="004D590E">
              <w:rPr>
                <w:rFonts w:ascii="Calibri" w:hAnsi="Calibri" w:cs="Arial"/>
                <w:b/>
                <w:color w:val="000000"/>
                <w:sz w:val="22"/>
                <w:szCs w:val="22"/>
              </w:rPr>
              <w:t>&gt;20ng/ml,</w:t>
            </w:r>
            <w:r w:rsidRPr="004D590E">
              <w:rPr>
                <w:rFonts w:ascii="Calibri" w:hAnsi="Calibri" w:cs="Arial"/>
                <w:color w:val="000000"/>
                <w:sz w:val="22"/>
                <w:szCs w:val="22"/>
              </w:rPr>
              <w:t xml:space="preserve"> this indicates a poor or only partial response and the urologist should be informed as second line therapy may be indicated.</w:t>
            </w:r>
          </w:p>
          <w:p w:rsidR="00282CE5" w:rsidRPr="004D590E" w:rsidRDefault="00282CE5" w:rsidP="00C80D58">
            <w:pPr>
              <w:spacing w:after="0"/>
              <w:jc w:val="both"/>
              <w:rPr>
                <w:rFonts w:ascii="Calibri" w:hAnsi="Calibri" w:cs="Arial"/>
                <w:color w:val="000000"/>
                <w:szCs w:val="22"/>
              </w:rPr>
            </w:pPr>
          </w:p>
        </w:tc>
      </w:tr>
      <w:tr w:rsidR="00282CE5" w:rsidRPr="004D590E" w:rsidTr="00C80D58">
        <w:tc>
          <w:tcPr>
            <w:tcW w:w="1762" w:type="dxa"/>
          </w:tcPr>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Increase in PSA</w:t>
            </w:r>
          </w:p>
        </w:tc>
        <w:tc>
          <w:tcPr>
            <w:tcW w:w="7644" w:type="dxa"/>
          </w:tcPr>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 xml:space="preserve">A rise in PSA usually precedes a clinical relapse by several months.  </w:t>
            </w:r>
          </w:p>
          <w:p w:rsidR="00282CE5" w:rsidRPr="004D590E" w:rsidRDefault="00282CE5" w:rsidP="00C80D58">
            <w:pPr>
              <w:spacing w:after="0"/>
              <w:jc w:val="both"/>
              <w:rPr>
                <w:rFonts w:ascii="Calibri" w:hAnsi="Calibri" w:cs="Arial"/>
                <w:color w:val="000000"/>
                <w:sz w:val="10"/>
                <w:szCs w:val="10"/>
              </w:rPr>
            </w:pPr>
          </w:p>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 xml:space="preserve">This gives the opportunity to change therapy before a clinical problem occurs.  </w:t>
            </w:r>
          </w:p>
          <w:p w:rsidR="00282CE5" w:rsidRPr="004D590E" w:rsidRDefault="00282CE5" w:rsidP="00C80D58">
            <w:pPr>
              <w:spacing w:after="0"/>
              <w:jc w:val="both"/>
              <w:rPr>
                <w:rFonts w:ascii="Calibri" w:hAnsi="Calibri" w:cs="Arial"/>
                <w:color w:val="000000"/>
                <w:sz w:val="10"/>
                <w:szCs w:val="10"/>
              </w:rPr>
            </w:pPr>
          </w:p>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 xml:space="preserve">PSA does fluctuate a little, however, and a single reading is not always reliable.  </w:t>
            </w:r>
          </w:p>
          <w:p w:rsidR="00282CE5" w:rsidRPr="004D590E" w:rsidRDefault="00282CE5" w:rsidP="00C80D58">
            <w:pPr>
              <w:spacing w:after="0"/>
              <w:jc w:val="both"/>
              <w:rPr>
                <w:rFonts w:ascii="Calibri" w:hAnsi="Calibri" w:cs="Arial"/>
                <w:color w:val="000000"/>
                <w:sz w:val="10"/>
                <w:szCs w:val="10"/>
              </w:rPr>
            </w:pPr>
          </w:p>
          <w:p w:rsidR="00282CE5" w:rsidRPr="004D590E" w:rsidRDefault="00282CE5" w:rsidP="00C80D58">
            <w:pPr>
              <w:spacing w:after="0"/>
              <w:jc w:val="both"/>
              <w:rPr>
                <w:rFonts w:ascii="Calibri" w:hAnsi="Calibri" w:cs="Arial"/>
                <w:color w:val="000000"/>
                <w:szCs w:val="22"/>
              </w:rPr>
            </w:pPr>
            <w:r w:rsidRPr="004D590E">
              <w:rPr>
                <w:rFonts w:ascii="Calibri" w:hAnsi="Calibri" w:cs="Arial"/>
                <w:color w:val="000000"/>
                <w:sz w:val="22"/>
                <w:szCs w:val="22"/>
              </w:rPr>
              <w:t>It is recommended that the GP inform the urologist of any single rise in PSA of more than 50% of the previous value or of 3 consecutive rises in PSA of 0.2ng/ml or greater and 2ng/ml above nadir</w:t>
            </w:r>
          </w:p>
          <w:p w:rsidR="00282CE5" w:rsidRPr="004D590E" w:rsidRDefault="00282CE5" w:rsidP="00C80D58">
            <w:pPr>
              <w:spacing w:after="0"/>
              <w:jc w:val="both"/>
              <w:rPr>
                <w:rFonts w:ascii="Calibri" w:hAnsi="Calibri" w:cs="Arial"/>
                <w:color w:val="000000"/>
                <w:szCs w:val="22"/>
              </w:rPr>
            </w:pPr>
          </w:p>
        </w:tc>
      </w:tr>
      <w:tr w:rsidR="00282CE5" w:rsidRPr="004D590E" w:rsidTr="00C80D58">
        <w:tc>
          <w:tcPr>
            <w:tcW w:w="9406" w:type="dxa"/>
            <w:gridSpan w:val="2"/>
          </w:tcPr>
          <w:p w:rsidR="00282CE5" w:rsidRPr="004D590E" w:rsidRDefault="00282CE5" w:rsidP="00C80D58">
            <w:pPr>
              <w:spacing w:after="0"/>
              <w:rPr>
                <w:rFonts w:ascii="Calibri" w:hAnsi="Calibri" w:cs="Arial"/>
                <w:color w:val="000000"/>
                <w:szCs w:val="22"/>
              </w:rPr>
            </w:pPr>
            <w:r w:rsidRPr="004D590E">
              <w:rPr>
                <w:rFonts w:ascii="Calibri" w:hAnsi="Calibri" w:cs="Arial"/>
                <w:color w:val="000000"/>
                <w:sz w:val="22"/>
                <w:szCs w:val="22"/>
              </w:rPr>
              <w:t>Any clinical problems which may be related to prostate cancer or its therapy</w:t>
            </w:r>
          </w:p>
          <w:p w:rsidR="00282CE5" w:rsidRPr="004D590E" w:rsidRDefault="00282CE5" w:rsidP="00C80D58">
            <w:pPr>
              <w:spacing w:after="0"/>
              <w:rPr>
                <w:rFonts w:ascii="Calibri" w:hAnsi="Calibri" w:cs="Arial"/>
                <w:color w:val="000000"/>
                <w:sz w:val="10"/>
                <w:szCs w:val="10"/>
              </w:rPr>
            </w:pPr>
          </w:p>
          <w:p w:rsidR="00282CE5" w:rsidRPr="004D590E" w:rsidRDefault="00282CE5" w:rsidP="00C80D58">
            <w:pPr>
              <w:numPr>
                <w:ilvl w:val="0"/>
                <w:numId w:val="13"/>
              </w:numPr>
              <w:spacing w:after="0"/>
              <w:rPr>
                <w:rFonts w:ascii="Calibri" w:hAnsi="Calibri" w:cs="Arial"/>
                <w:color w:val="000000"/>
                <w:szCs w:val="22"/>
              </w:rPr>
            </w:pPr>
            <w:r w:rsidRPr="004D590E">
              <w:rPr>
                <w:rFonts w:ascii="Calibri" w:hAnsi="Calibri" w:cs="Arial"/>
                <w:color w:val="000000"/>
                <w:sz w:val="22"/>
                <w:szCs w:val="22"/>
              </w:rPr>
              <w:t>worsening of lower urinary tract symptoms</w:t>
            </w:r>
          </w:p>
          <w:p w:rsidR="00282CE5" w:rsidRPr="004D590E" w:rsidRDefault="00282CE5" w:rsidP="00C80D58">
            <w:pPr>
              <w:numPr>
                <w:ilvl w:val="0"/>
                <w:numId w:val="13"/>
              </w:numPr>
              <w:spacing w:after="0"/>
              <w:rPr>
                <w:rFonts w:ascii="Calibri" w:hAnsi="Calibri" w:cs="Arial"/>
                <w:color w:val="000000"/>
                <w:szCs w:val="22"/>
              </w:rPr>
            </w:pPr>
            <w:r w:rsidRPr="004D590E">
              <w:rPr>
                <w:rFonts w:ascii="Calibri" w:hAnsi="Calibri" w:cs="Arial"/>
                <w:color w:val="000000"/>
                <w:sz w:val="22"/>
                <w:szCs w:val="22"/>
              </w:rPr>
              <w:t xml:space="preserve">onset of bony pain </w:t>
            </w:r>
          </w:p>
          <w:p w:rsidR="00282CE5" w:rsidRPr="004D590E" w:rsidRDefault="00282CE5" w:rsidP="00C80D58">
            <w:pPr>
              <w:numPr>
                <w:ilvl w:val="0"/>
                <w:numId w:val="13"/>
              </w:numPr>
              <w:spacing w:after="0"/>
              <w:rPr>
                <w:rFonts w:ascii="Calibri" w:hAnsi="Calibri" w:cs="Arial"/>
                <w:color w:val="000000"/>
                <w:szCs w:val="22"/>
              </w:rPr>
            </w:pPr>
            <w:r w:rsidRPr="004D590E">
              <w:rPr>
                <w:rFonts w:ascii="Calibri" w:hAnsi="Calibri" w:cs="Arial"/>
                <w:color w:val="000000"/>
                <w:sz w:val="22"/>
                <w:szCs w:val="22"/>
              </w:rPr>
              <w:t>side effects of medication</w:t>
            </w:r>
          </w:p>
          <w:p w:rsidR="00282CE5" w:rsidRPr="002E40FB" w:rsidRDefault="00282CE5" w:rsidP="00C80D58">
            <w:pPr>
              <w:spacing w:after="0"/>
              <w:rPr>
                <w:rFonts w:ascii="Calibri" w:hAnsi="Calibri" w:cs="Arial"/>
                <w:color w:val="000000"/>
                <w:sz w:val="10"/>
                <w:szCs w:val="10"/>
              </w:rPr>
            </w:pPr>
          </w:p>
          <w:p w:rsidR="00282CE5" w:rsidRPr="004D590E" w:rsidRDefault="00282CE5" w:rsidP="00C80D58">
            <w:pPr>
              <w:spacing w:after="0"/>
              <w:rPr>
                <w:rFonts w:ascii="Calibri" w:hAnsi="Calibri" w:cs="Arial"/>
                <w:color w:val="000000"/>
                <w:szCs w:val="22"/>
              </w:rPr>
            </w:pPr>
            <w:r w:rsidRPr="004D590E">
              <w:rPr>
                <w:rFonts w:ascii="Calibri" w:hAnsi="Calibri" w:cs="Arial"/>
                <w:color w:val="000000"/>
                <w:sz w:val="22"/>
                <w:szCs w:val="22"/>
              </w:rPr>
              <w:t xml:space="preserve">should be reported to the urologist for advice or further investigation and management. </w:t>
            </w:r>
          </w:p>
        </w:tc>
      </w:tr>
    </w:tbl>
    <w:p w:rsidR="00282CE5" w:rsidRPr="00E362C5" w:rsidRDefault="00C80D58" w:rsidP="00282CE5">
      <w:pPr>
        <w:pStyle w:val="mtrachead5"/>
        <w:numPr>
          <w:ilvl w:val="0"/>
          <w:numId w:val="0"/>
        </w:numPr>
        <w:rPr>
          <w:rFonts w:ascii="Calibri" w:hAnsi="Calibri" w:cs="Arial"/>
          <w:snapToGrid/>
        </w:rPr>
      </w:pPr>
      <w:r w:rsidRPr="00E362C5">
        <w:rPr>
          <w:rFonts w:ascii="Calibri" w:hAnsi="Calibri" w:cs="Arial"/>
          <w:b/>
          <w:color w:val="000000"/>
        </w:rPr>
        <w:t>Monitoring</w:t>
      </w:r>
      <w:r>
        <w:rPr>
          <w:rFonts w:ascii="Calibri" w:hAnsi="Calibri" w:cs="Arial"/>
          <w:b/>
          <w:color w:val="000000"/>
        </w:rPr>
        <w:t xml:space="preserve"> – </w:t>
      </w:r>
      <w:r w:rsidRPr="00AE7CC6">
        <w:rPr>
          <w:rFonts w:ascii="Calibri" w:hAnsi="Calibri" w:cs="Arial"/>
          <w:b/>
          <w:color w:val="FF0000"/>
        </w:rPr>
        <w:t>Please refer to the transfer of care form for patients individualised care plan</w:t>
      </w:r>
    </w:p>
    <w:p w:rsidR="00282CE5" w:rsidRPr="00E362C5" w:rsidRDefault="00282CE5" w:rsidP="00282CE5">
      <w:pPr>
        <w:pStyle w:val="mtrachead5"/>
        <w:numPr>
          <w:ilvl w:val="0"/>
          <w:numId w:val="0"/>
        </w:numPr>
        <w:rPr>
          <w:rFonts w:ascii="Calibri" w:hAnsi="Calibri" w:cs="Arial"/>
          <w:b/>
          <w:snapToGrid/>
        </w:rPr>
      </w:pPr>
      <w:r w:rsidRPr="00E362C5">
        <w:rPr>
          <w:rFonts w:ascii="Calibri" w:hAnsi="Calibri" w:cs="Arial"/>
          <w:b/>
          <w:snapToGrid/>
        </w:rPr>
        <w:t>References</w:t>
      </w:r>
    </w:p>
    <w:p w:rsidR="00282CE5" w:rsidRPr="00E362C5" w:rsidRDefault="00282CE5" w:rsidP="00282CE5">
      <w:pPr>
        <w:pStyle w:val="mtrachead5"/>
        <w:numPr>
          <w:ilvl w:val="0"/>
          <w:numId w:val="0"/>
        </w:numPr>
        <w:rPr>
          <w:rFonts w:ascii="Calibri" w:hAnsi="Calibri" w:cs="Arial"/>
          <w:snapToGrid/>
        </w:rPr>
      </w:pPr>
      <w:r w:rsidRPr="00E362C5">
        <w:rPr>
          <w:rFonts w:ascii="Calibri" w:hAnsi="Calibri" w:cs="Arial"/>
          <w:snapToGrid/>
        </w:rPr>
        <w:t>SmPC Zoladex, Zoladex LA and Prostap, Prostap SR</w:t>
      </w:r>
    </w:p>
    <w:p w:rsidR="00282CE5" w:rsidRPr="00E362C5" w:rsidRDefault="00282CE5" w:rsidP="00282CE5">
      <w:pPr>
        <w:pStyle w:val="mtrachead5"/>
        <w:numPr>
          <w:ilvl w:val="0"/>
          <w:numId w:val="0"/>
        </w:numPr>
        <w:rPr>
          <w:rFonts w:ascii="Calibri" w:hAnsi="Calibri" w:cs="Arial"/>
          <w:snapToGrid/>
        </w:rPr>
      </w:pPr>
      <w:r w:rsidRPr="00E362C5">
        <w:rPr>
          <w:rFonts w:ascii="Calibri" w:hAnsi="Calibri" w:cs="Arial"/>
          <w:snapToGrid/>
        </w:rPr>
        <w:lastRenderedPageBreak/>
        <w:t>NICE Guidance – CG 58 – Prostate Cancer</w:t>
      </w:r>
    </w:p>
    <w:p w:rsidR="00282CE5" w:rsidRPr="00E362C5" w:rsidRDefault="00282CE5" w:rsidP="00282CE5">
      <w:pPr>
        <w:pStyle w:val="mtrachead5"/>
        <w:numPr>
          <w:ilvl w:val="0"/>
          <w:numId w:val="0"/>
        </w:numPr>
        <w:rPr>
          <w:rFonts w:ascii="Calibri" w:hAnsi="Calibri" w:cs="Arial"/>
          <w:snapToGrid/>
        </w:rPr>
      </w:pPr>
      <w:r w:rsidRPr="00E362C5">
        <w:rPr>
          <w:rFonts w:ascii="Calibri" w:hAnsi="Calibri" w:cs="Arial"/>
          <w:snapToGrid/>
        </w:rPr>
        <w:t>MTRAC verdict – Goserelin &amp; Leuprorelin</w:t>
      </w:r>
    </w:p>
    <w:p w:rsidR="00282CE5" w:rsidRDefault="00282CE5" w:rsidP="00282CE5">
      <w:pPr>
        <w:spacing w:after="0"/>
        <w:jc w:val="center"/>
        <w:rPr>
          <w:rFonts w:ascii="Calibri" w:hAnsi="Calibri" w:cs="Arial"/>
          <w:b/>
          <w:sz w:val="36"/>
          <w:szCs w:val="36"/>
        </w:rPr>
      </w:pPr>
      <w:r w:rsidRPr="00E362C5">
        <w:rPr>
          <w:rFonts w:ascii="Calibri" w:hAnsi="Calibri" w:cs="Arial"/>
          <w:b/>
          <w:sz w:val="36"/>
          <w:szCs w:val="36"/>
        </w:rPr>
        <w:t>Bicalutamide</w:t>
      </w:r>
    </w:p>
    <w:p w:rsidR="00282CE5" w:rsidRPr="003B223A" w:rsidRDefault="00282CE5" w:rsidP="00282CE5">
      <w:pPr>
        <w:spacing w:after="0"/>
        <w:rPr>
          <w:rFonts w:ascii="Calibri" w:hAnsi="Calibri" w:cs="Arial"/>
          <w:szCs w:val="24"/>
          <w:u w:val="single"/>
          <w:shd w:val="pct5" w:color="auto" w:fill="auto"/>
        </w:rPr>
      </w:pPr>
      <w:r w:rsidRPr="003B223A">
        <w:rPr>
          <w:rFonts w:ascii="Calibri" w:hAnsi="Calibri" w:cs="Arial"/>
          <w:szCs w:val="24"/>
          <w:u w:val="single"/>
        </w:rPr>
        <w:t>Prescribing Agreement: For the treatment of localised or locally advanced prostate cancer</w:t>
      </w:r>
    </w:p>
    <w:p w:rsidR="000407B7" w:rsidRDefault="000407B7" w:rsidP="00282CE5">
      <w:pPr>
        <w:tabs>
          <w:tab w:val="right" w:pos="360"/>
          <w:tab w:val="left" w:pos="540"/>
        </w:tabs>
        <w:spacing w:after="0"/>
        <w:jc w:val="both"/>
        <w:rPr>
          <w:rFonts w:ascii="Calibri" w:hAnsi="Calibri" w:cs="Arial"/>
          <w:b/>
          <w:snapToGrid w:val="0"/>
          <w:lang w:eastAsia="en-US"/>
        </w:rPr>
      </w:pPr>
    </w:p>
    <w:p w:rsidR="00282CE5" w:rsidRPr="00E362C5" w:rsidRDefault="00282CE5" w:rsidP="00282CE5">
      <w:pPr>
        <w:tabs>
          <w:tab w:val="right" w:pos="360"/>
          <w:tab w:val="left" w:pos="540"/>
        </w:tabs>
        <w:spacing w:after="0"/>
        <w:jc w:val="both"/>
        <w:rPr>
          <w:rFonts w:ascii="Calibri" w:hAnsi="Calibri" w:cs="Arial"/>
          <w:b/>
          <w:snapToGrid w:val="0"/>
          <w:lang w:eastAsia="en-US"/>
        </w:rPr>
      </w:pPr>
      <w:r w:rsidRPr="00E362C5">
        <w:rPr>
          <w:rFonts w:ascii="Calibri" w:hAnsi="Calibri" w:cs="Arial"/>
          <w:b/>
          <w:snapToGrid w:val="0"/>
          <w:lang w:eastAsia="en-US"/>
        </w:rPr>
        <w:t>RESPONSIBILITIES and ROLES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282CE5" w:rsidRPr="004D590E" w:rsidTr="00282CE5">
        <w:tc>
          <w:tcPr>
            <w:tcW w:w="9781" w:type="dxa"/>
          </w:tcPr>
          <w:p w:rsidR="00282CE5" w:rsidRPr="004D590E" w:rsidRDefault="00282CE5" w:rsidP="00282CE5">
            <w:pPr>
              <w:tabs>
                <w:tab w:val="left" w:pos="540"/>
              </w:tabs>
              <w:spacing w:after="0"/>
              <w:jc w:val="center"/>
              <w:rPr>
                <w:rFonts w:ascii="Calibri" w:hAnsi="Calibri" w:cs="Arial"/>
                <w:b/>
                <w:snapToGrid w:val="0"/>
                <w:szCs w:val="22"/>
                <w:lang w:eastAsia="en-US"/>
              </w:rPr>
            </w:pPr>
            <w:r w:rsidRPr="004D590E">
              <w:rPr>
                <w:rFonts w:ascii="Calibri" w:hAnsi="Calibri" w:cs="Arial"/>
                <w:b/>
                <w:snapToGrid w:val="0"/>
                <w:sz w:val="22"/>
                <w:szCs w:val="22"/>
                <w:lang w:eastAsia="en-US"/>
              </w:rPr>
              <w:t>Specialist responsibilities</w:t>
            </w:r>
          </w:p>
        </w:tc>
      </w:tr>
      <w:tr w:rsidR="00282CE5" w:rsidRPr="004D590E" w:rsidTr="00282CE5">
        <w:trPr>
          <w:trHeight w:val="240"/>
        </w:trPr>
        <w:tc>
          <w:tcPr>
            <w:tcW w:w="9781" w:type="dxa"/>
          </w:tcPr>
          <w:p w:rsidR="00282CE5" w:rsidRPr="004D590E" w:rsidRDefault="00282CE5" w:rsidP="00282CE5">
            <w:pPr>
              <w:numPr>
                <w:ilvl w:val="0"/>
                <w:numId w:val="14"/>
              </w:numPr>
              <w:tabs>
                <w:tab w:val="left" w:pos="540"/>
              </w:tabs>
              <w:spacing w:after="0"/>
              <w:rPr>
                <w:rFonts w:ascii="Calibri" w:hAnsi="Calibri" w:cs="Arial"/>
                <w:snapToGrid w:val="0"/>
                <w:szCs w:val="22"/>
                <w:lang w:eastAsia="en-US"/>
              </w:rPr>
            </w:pPr>
            <w:r w:rsidRPr="004D590E">
              <w:rPr>
                <w:rFonts w:ascii="Calibri" w:hAnsi="Calibri" w:cs="Arial"/>
                <w:snapToGrid w:val="0"/>
                <w:sz w:val="22"/>
                <w:szCs w:val="22"/>
                <w:lang w:eastAsia="en-US"/>
              </w:rPr>
              <w:t>Confirm diagnosis.</w:t>
            </w:r>
          </w:p>
        </w:tc>
      </w:tr>
      <w:tr w:rsidR="00282CE5" w:rsidRPr="004D590E" w:rsidTr="00282CE5">
        <w:trPr>
          <w:trHeight w:val="240"/>
        </w:trPr>
        <w:tc>
          <w:tcPr>
            <w:tcW w:w="9781" w:type="dxa"/>
          </w:tcPr>
          <w:p w:rsidR="00282CE5" w:rsidRPr="004D590E" w:rsidRDefault="00282CE5" w:rsidP="00282CE5">
            <w:pPr>
              <w:numPr>
                <w:ilvl w:val="0"/>
                <w:numId w:val="14"/>
              </w:numPr>
              <w:tabs>
                <w:tab w:val="left" w:pos="540"/>
              </w:tabs>
              <w:spacing w:after="0"/>
              <w:rPr>
                <w:rFonts w:ascii="Calibri" w:hAnsi="Calibri" w:cs="Arial"/>
                <w:snapToGrid w:val="0"/>
                <w:szCs w:val="22"/>
                <w:lang w:eastAsia="en-US"/>
              </w:rPr>
            </w:pPr>
            <w:r w:rsidRPr="004D590E">
              <w:rPr>
                <w:rFonts w:ascii="Calibri" w:hAnsi="Calibri" w:cs="Arial"/>
                <w:snapToGrid w:val="0"/>
                <w:sz w:val="22"/>
                <w:szCs w:val="22"/>
                <w:lang w:eastAsia="en-US"/>
              </w:rPr>
              <w:t>Discuss benefits and side effects of treatment with the patient. If patient is on warfarin, ensure that service(s) responsible for monitoring of INR and prescribing of warfarin area aware that bicalutamide is being initiated and that INR may be affected.</w:t>
            </w:r>
          </w:p>
        </w:tc>
      </w:tr>
      <w:tr w:rsidR="00282CE5" w:rsidRPr="004D590E" w:rsidTr="00282CE5">
        <w:trPr>
          <w:trHeight w:val="240"/>
        </w:trPr>
        <w:tc>
          <w:tcPr>
            <w:tcW w:w="9781" w:type="dxa"/>
          </w:tcPr>
          <w:p w:rsidR="00282CE5" w:rsidRPr="004D590E" w:rsidRDefault="00282CE5" w:rsidP="00282CE5">
            <w:pPr>
              <w:numPr>
                <w:ilvl w:val="0"/>
                <w:numId w:val="14"/>
              </w:numPr>
              <w:tabs>
                <w:tab w:val="left" w:pos="540"/>
              </w:tabs>
              <w:spacing w:after="0"/>
              <w:rPr>
                <w:rFonts w:ascii="Calibri" w:hAnsi="Calibri" w:cs="Arial"/>
                <w:snapToGrid w:val="0"/>
                <w:szCs w:val="22"/>
                <w:lang w:eastAsia="en-US"/>
              </w:rPr>
            </w:pPr>
            <w:r w:rsidRPr="004D590E">
              <w:rPr>
                <w:rFonts w:ascii="Calibri" w:hAnsi="Calibri" w:cs="Arial"/>
                <w:snapToGrid w:val="0"/>
                <w:sz w:val="22"/>
                <w:szCs w:val="22"/>
                <w:lang w:eastAsia="en-US"/>
              </w:rPr>
              <w:t>Initiate and supply 4 weeks of treatment and ask the GP whether they are willing to participate in shared care</w:t>
            </w:r>
          </w:p>
        </w:tc>
      </w:tr>
      <w:tr w:rsidR="00282CE5" w:rsidRPr="004D590E" w:rsidTr="00282CE5">
        <w:trPr>
          <w:trHeight w:val="240"/>
        </w:trPr>
        <w:tc>
          <w:tcPr>
            <w:tcW w:w="9781" w:type="dxa"/>
          </w:tcPr>
          <w:p w:rsidR="00282CE5" w:rsidRPr="004D590E" w:rsidRDefault="00282CE5" w:rsidP="00342CC2">
            <w:pPr>
              <w:numPr>
                <w:ilvl w:val="0"/>
                <w:numId w:val="14"/>
              </w:numPr>
              <w:tabs>
                <w:tab w:val="left" w:pos="540"/>
              </w:tabs>
              <w:spacing w:after="0"/>
              <w:rPr>
                <w:rFonts w:ascii="Calibri" w:hAnsi="Calibri" w:cs="Arial"/>
                <w:snapToGrid w:val="0"/>
                <w:szCs w:val="22"/>
                <w:lang w:eastAsia="en-US"/>
              </w:rPr>
            </w:pPr>
            <w:r w:rsidRPr="004D590E">
              <w:rPr>
                <w:rFonts w:ascii="Calibri" w:hAnsi="Calibri" w:cs="Arial"/>
                <w:snapToGrid w:val="0"/>
                <w:sz w:val="22"/>
                <w:szCs w:val="22"/>
                <w:lang w:eastAsia="en-US"/>
              </w:rPr>
              <w:t>Complete the “Transfer of Care” form and send to the patients GP.</w:t>
            </w:r>
            <w:r>
              <w:rPr>
                <w:rFonts w:ascii="Calibri" w:hAnsi="Calibri" w:cs="Arial"/>
                <w:snapToGrid w:val="0"/>
                <w:sz w:val="22"/>
                <w:szCs w:val="22"/>
                <w:lang w:eastAsia="en-US"/>
              </w:rPr>
              <w:t xml:space="preserve"> </w:t>
            </w:r>
          </w:p>
        </w:tc>
      </w:tr>
      <w:tr w:rsidR="00282CE5" w:rsidRPr="004D590E" w:rsidTr="00282CE5">
        <w:trPr>
          <w:trHeight w:val="240"/>
        </w:trPr>
        <w:tc>
          <w:tcPr>
            <w:tcW w:w="9781" w:type="dxa"/>
          </w:tcPr>
          <w:p w:rsidR="00282CE5" w:rsidRPr="004D590E" w:rsidRDefault="00282CE5" w:rsidP="00282CE5">
            <w:pPr>
              <w:numPr>
                <w:ilvl w:val="0"/>
                <w:numId w:val="14"/>
              </w:numPr>
              <w:tabs>
                <w:tab w:val="left" w:pos="540"/>
              </w:tabs>
              <w:spacing w:after="0"/>
              <w:rPr>
                <w:rFonts w:ascii="Calibri" w:hAnsi="Calibri" w:cs="Arial"/>
                <w:snapToGrid w:val="0"/>
                <w:szCs w:val="22"/>
                <w:lang w:eastAsia="en-US"/>
              </w:rPr>
            </w:pPr>
            <w:r w:rsidRPr="000564FE">
              <w:rPr>
                <w:rFonts w:ascii="Calibri" w:hAnsi="Calibri" w:cs="Arial"/>
                <w:snapToGrid w:val="0"/>
                <w:sz w:val="22"/>
                <w:szCs w:val="22"/>
              </w:rPr>
              <w:t xml:space="preserve">Prompt communication </w:t>
            </w:r>
            <w:r>
              <w:rPr>
                <w:rFonts w:ascii="Calibri" w:hAnsi="Calibri" w:cs="Arial"/>
                <w:snapToGrid w:val="0"/>
                <w:sz w:val="22"/>
                <w:szCs w:val="22"/>
              </w:rPr>
              <w:t xml:space="preserve">(ie within 10 working days) </w:t>
            </w:r>
            <w:r w:rsidRPr="000564FE">
              <w:rPr>
                <w:rFonts w:ascii="Calibri" w:hAnsi="Calibri" w:cs="Arial"/>
                <w:snapToGrid w:val="0"/>
                <w:sz w:val="22"/>
                <w:szCs w:val="22"/>
              </w:rPr>
              <w:t>with the GP of any changes in treatment.</w:t>
            </w:r>
          </w:p>
        </w:tc>
      </w:tr>
      <w:tr w:rsidR="00282CE5" w:rsidRPr="004D590E" w:rsidTr="00282CE5">
        <w:trPr>
          <w:trHeight w:val="240"/>
        </w:trPr>
        <w:tc>
          <w:tcPr>
            <w:tcW w:w="9781" w:type="dxa"/>
          </w:tcPr>
          <w:p w:rsidR="00282CE5" w:rsidRPr="004D590E" w:rsidRDefault="00282CE5" w:rsidP="00282CE5">
            <w:pPr>
              <w:numPr>
                <w:ilvl w:val="0"/>
                <w:numId w:val="14"/>
              </w:numPr>
              <w:tabs>
                <w:tab w:val="left" w:pos="540"/>
              </w:tabs>
              <w:spacing w:after="0"/>
              <w:rPr>
                <w:rFonts w:ascii="Calibri" w:hAnsi="Calibri" w:cs="Arial"/>
                <w:snapToGrid w:val="0"/>
                <w:szCs w:val="22"/>
                <w:lang w:eastAsia="en-US"/>
              </w:rPr>
            </w:pPr>
            <w:r w:rsidRPr="004D590E">
              <w:rPr>
                <w:rFonts w:ascii="Calibri" w:hAnsi="Calibri" w:cs="Arial"/>
                <w:snapToGrid w:val="0"/>
                <w:sz w:val="22"/>
                <w:szCs w:val="22"/>
                <w:lang w:eastAsia="en-US"/>
              </w:rPr>
              <w:t>Monitor response to treatment.</w:t>
            </w:r>
          </w:p>
        </w:tc>
      </w:tr>
      <w:tr w:rsidR="00282CE5" w:rsidRPr="004D590E" w:rsidTr="00282CE5">
        <w:trPr>
          <w:trHeight w:val="240"/>
        </w:trPr>
        <w:tc>
          <w:tcPr>
            <w:tcW w:w="9781" w:type="dxa"/>
          </w:tcPr>
          <w:p w:rsidR="00282CE5" w:rsidRPr="004D590E" w:rsidRDefault="00282CE5" w:rsidP="00282CE5">
            <w:pPr>
              <w:numPr>
                <w:ilvl w:val="0"/>
                <w:numId w:val="14"/>
              </w:numPr>
              <w:tabs>
                <w:tab w:val="left" w:pos="540"/>
              </w:tabs>
              <w:spacing w:after="0"/>
              <w:rPr>
                <w:rFonts w:ascii="Calibri" w:hAnsi="Calibri" w:cs="Arial"/>
                <w:snapToGrid w:val="0"/>
                <w:szCs w:val="22"/>
                <w:lang w:eastAsia="en-US"/>
              </w:rPr>
            </w:pPr>
            <w:r w:rsidRPr="004D590E">
              <w:rPr>
                <w:rFonts w:ascii="Calibri" w:hAnsi="Calibri" w:cs="Arial"/>
                <w:snapToGrid w:val="0"/>
                <w:sz w:val="22"/>
                <w:szCs w:val="22"/>
                <w:lang w:eastAsia="en-US"/>
              </w:rPr>
              <w:t>Baseline liver function (LFTs), U&amp;E’s FBC and PSA levels.  Advise the GP on frequency of monitoring and what to do when LFTs or PSA levels rise.</w:t>
            </w:r>
          </w:p>
        </w:tc>
      </w:tr>
      <w:tr w:rsidR="00282CE5" w:rsidRPr="004D590E" w:rsidTr="00282CE5">
        <w:trPr>
          <w:trHeight w:val="240"/>
        </w:trPr>
        <w:tc>
          <w:tcPr>
            <w:tcW w:w="9781" w:type="dxa"/>
          </w:tcPr>
          <w:p w:rsidR="00282CE5" w:rsidRPr="004D590E" w:rsidRDefault="00282CE5" w:rsidP="00282CE5">
            <w:pPr>
              <w:numPr>
                <w:ilvl w:val="0"/>
                <w:numId w:val="14"/>
              </w:numPr>
              <w:tabs>
                <w:tab w:val="left" w:pos="540"/>
              </w:tabs>
              <w:spacing w:after="0"/>
              <w:rPr>
                <w:rFonts w:ascii="Calibri" w:hAnsi="Calibri" w:cs="Arial"/>
                <w:snapToGrid w:val="0"/>
                <w:szCs w:val="22"/>
                <w:lang w:eastAsia="en-US"/>
              </w:rPr>
            </w:pPr>
            <w:r w:rsidRPr="004D590E">
              <w:rPr>
                <w:rFonts w:ascii="Calibri" w:hAnsi="Calibri" w:cs="Arial"/>
                <w:snapToGrid w:val="0"/>
                <w:sz w:val="22"/>
                <w:szCs w:val="22"/>
                <w:lang w:eastAsia="en-US"/>
              </w:rPr>
              <w:t>Stop treatment when indicated, or advise the GP on when to stop treatment.</w:t>
            </w:r>
          </w:p>
        </w:tc>
      </w:tr>
      <w:tr w:rsidR="00282CE5" w:rsidRPr="004D590E" w:rsidTr="00282CE5">
        <w:trPr>
          <w:trHeight w:val="240"/>
        </w:trPr>
        <w:tc>
          <w:tcPr>
            <w:tcW w:w="9781" w:type="dxa"/>
          </w:tcPr>
          <w:p w:rsidR="00282CE5" w:rsidRPr="004D590E" w:rsidRDefault="00282CE5" w:rsidP="00282CE5">
            <w:pPr>
              <w:numPr>
                <w:ilvl w:val="0"/>
                <w:numId w:val="14"/>
              </w:numPr>
              <w:tabs>
                <w:tab w:val="left" w:pos="540"/>
              </w:tabs>
              <w:spacing w:after="0"/>
              <w:rPr>
                <w:rFonts w:ascii="Calibri" w:hAnsi="Calibri" w:cs="Arial"/>
                <w:szCs w:val="22"/>
              </w:rPr>
            </w:pPr>
            <w:r w:rsidRPr="004D590E">
              <w:rPr>
                <w:rFonts w:ascii="Calibri" w:hAnsi="Calibri" w:cs="Arial"/>
                <w:snapToGrid w:val="0"/>
                <w:sz w:val="22"/>
                <w:szCs w:val="22"/>
                <w:lang w:eastAsia="en-US"/>
              </w:rPr>
              <w:t>Report adverse events to the CSM.</w:t>
            </w:r>
          </w:p>
        </w:tc>
      </w:tr>
      <w:tr w:rsidR="00282CE5" w:rsidRPr="004D590E" w:rsidTr="00282CE5">
        <w:trPr>
          <w:trHeight w:val="240"/>
        </w:trPr>
        <w:tc>
          <w:tcPr>
            <w:tcW w:w="9781" w:type="dxa"/>
          </w:tcPr>
          <w:p w:rsidR="00282CE5" w:rsidRPr="004D590E" w:rsidRDefault="00282CE5" w:rsidP="00282CE5">
            <w:pPr>
              <w:numPr>
                <w:ilvl w:val="0"/>
                <w:numId w:val="14"/>
              </w:numPr>
              <w:tabs>
                <w:tab w:val="left" w:pos="540"/>
              </w:tabs>
              <w:spacing w:after="0"/>
              <w:rPr>
                <w:rFonts w:ascii="Calibri" w:hAnsi="Calibri" w:cs="Arial"/>
                <w:szCs w:val="22"/>
              </w:rPr>
            </w:pPr>
            <w:r w:rsidRPr="004D590E">
              <w:rPr>
                <w:rFonts w:ascii="Calibri" w:hAnsi="Calibri" w:cs="Arial"/>
                <w:snapToGrid w:val="0"/>
                <w:sz w:val="22"/>
                <w:szCs w:val="22"/>
                <w:lang w:eastAsia="en-US"/>
              </w:rPr>
              <w:t>Ensure clear arrangements for back-up, advice, and support.</w:t>
            </w:r>
          </w:p>
        </w:tc>
      </w:tr>
    </w:tbl>
    <w:p w:rsidR="00282CE5" w:rsidRPr="00342CC2" w:rsidRDefault="00282CE5" w:rsidP="00282CE5">
      <w:pPr>
        <w:tabs>
          <w:tab w:val="right" w:pos="360"/>
          <w:tab w:val="left" w:pos="540"/>
        </w:tabs>
        <w:spacing w:after="0"/>
        <w:jc w:val="both"/>
        <w:rPr>
          <w:rFonts w:ascii="Calibri" w:hAnsi="Calibri" w:cs="Arial"/>
          <w:snapToGrid w:val="0"/>
          <w:sz w:val="4"/>
          <w:szCs w:val="4"/>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342CC2" w:rsidRPr="00342CC2" w:rsidTr="00342CC2">
        <w:tc>
          <w:tcPr>
            <w:tcW w:w="9781" w:type="dxa"/>
          </w:tcPr>
          <w:p w:rsidR="00342CC2" w:rsidRPr="00342CC2" w:rsidRDefault="00342CC2" w:rsidP="00342CC2">
            <w:pPr>
              <w:tabs>
                <w:tab w:val="left" w:pos="540"/>
              </w:tabs>
              <w:jc w:val="center"/>
              <w:rPr>
                <w:rFonts w:ascii="Calibri" w:hAnsi="Calibri" w:cs="Arial"/>
                <w:b/>
                <w:snapToGrid w:val="0"/>
                <w:szCs w:val="22"/>
                <w:lang w:eastAsia="en-US"/>
              </w:rPr>
            </w:pPr>
            <w:r w:rsidRPr="00342CC2">
              <w:rPr>
                <w:rFonts w:ascii="Calibri" w:hAnsi="Calibri" w:cs="Arial"/>
                <w:b/>
                <w:sz w:val="22"/>
                <w:szCs w:val="22"/>
              </w:rPr>
              <w:t>General Practitioner r</w:t>
            </w:r>
            <w:r w:rsidRPr="00342CC2">
              <w:rPr>
                <w:rFonts w:ascii="Calibri" w:hAnsi="Calibri" w:cs="Arial"/>
                <w:b/>
                <w:snapToGrid w:val="0"/>
                <w:sz w:val="22"/>
                <w:szCs w:val="22"/>
                <w:lang w:eastAsia="en-US"/>
              </w:rPr>
              <w:t>esponsibilities</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jc w:val="both"/>
              <w:rPr>
                <w:rFonts w:ascii="Calibri" w:hAnsi="Calibri" w:cs="Arial"/>
                <w:snapToGrid w:val="0"/>
                <w:szCs w:val="22"/>
                <w:lang w:eastAsia="en-US"/>
              </w:rPr>
            </w:pPr>
            <w:r w:rsidRPr="00342CC2">
              <w:rPr>
                <w:rFonts w:ascii="Calibri" w:hAnsi="Calibri" w:cs="Arial"/>
                <w:snapToGrid w:val="0"/>
                <w:sz w:val="22"/>
                <w:szCs w:val="22"/>
                <w:lang w:eastAsia="en-US"/>
              </w:rPr>
              <w:t>Reply to the request for shared care as soon as practicable.</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jc w:val="both"/>
              <w:rPr>
                <w:rFonts w:ascii="Calibri" w:hAnsi="Calibri" w:cs="Arial"/>
                <w:snapToGrid w:val="0"/>
                <w:szCs w:val="22"/>
                <w:lang w:eastAsia="en-US"/>
              </w:rPr>
            </w:pPr>
            <w:r w:rsidRPr="00342CC2">
              <w:rPr>
                <w:rFonts w:ascii="Calibri" w:hAnsi="Calibri" w:cs="Arial"/>
                <w:snapToGrid w:val="0"/>
                <w:sz w:val="22"/>
                <w:szCs w:val="22"/>
                <w:lang w:eastAsia="en-US"/>
              </w:rPr>
              <w:t>If, clinically, the GP does not want to take on the ongoing care, please complete the declaration at the bottom of the “Transfer of Care” form and return to the requesting consultant as soon as possible.</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jc w:val="both"/>
              <w:rPr>
                <w:rFonts w:ascii="Calibri" w:hAnsi="Calibri" w:cs="Arial"/>
                <w:snapToGrid w:val="0"/>
                <w:szCs w:val="22"/>
                <w:lang w:eastAsia="en-US"/>
              </w:rPr>
            </w:pPr>
            <w:r w:rsidRPr="00342CC2">
              <w:rPr>
                <w:rFonts w:ascii="Calibri" w:hAnsi="Calibri" w:cs="Arial"/>
                <w:snapToGrid w:val="0"/>
                <w:sz w:val="22"/>
                <w:szCs w:val="22"/>
                <w:lang w:eastAsia="en-US"/>
              </w:rPr>
              <w:t>If accepting the patients care, please use the “Transfer of Care” form and individual management plan to support the patients care in primary care.</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jc w:val="both"/>
              <w:rPr>
                <w:rFonts w:ascii="Calibri" w:hAnsi="Calibri" w:cs="Arial"/>
                <w:snapToGrid w:val="0"/>
                <w:szCs w:val="22"/>
                <w:lang w:eastAsia="en-US"/>
              </w:rPr>
            </w:pPr>
            <w:r w:rsidRPr="00342CC2">
              <w:rPr>
                <w:rFonts w:ascii="Calibri" w:hAnsi="Calibri" w:cs="Arial"/>
                <w:snapToGrid w:val="0"/>
                <w:sz w:val="22"/>
                <w:szCs w:val="22"/>
                <w:lang w:eastAsia="en-US"/>
              </w:rPr>
              <w:t xml:space="preserve">Prescribe </w:t>
            </w:r>
            <w:r w:rsidRPr="00342CC2">
              <w:rPr>
                <w:rFonts w:ascii="Calibri" w:hAnsi="Calibri" w:cs="Arial"/>
                <w:sz w:val="22"/>
                <w:szCs w:val="22"/>
              </w:rPr>
              <w:t>bicalutamide</w:t>
            </w:r>
            <w:r w:rsidRPr="00342CC2">
              <w:rPr>
                <w:rFonts w:ascii="Calibri" w:hAnsi="Calibri" w:cs="Arial"/>
                <w:snapToGrid w:val="0"/>
                <w:sz w:val="22"/>
                <w:szCs w:val="22"/>
                <w:lang w:eastAsia="en-US"/>
              </w:rPr>
              <w:t xml:space="preserve"> at the dose recommended.</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jc w:val="both"/>
              <w:rPr>
                <w:rFonts w:ascii="Calibri" w:hAnsi="Calibri" w:cs="Arial"/>
                <w:snapToGrid w:val="0"/>
                <w:szCs w:val="22"/>
                <w:lang w:eastAsia="en-US"/>
              </w:rPr>
            </w:pPr>
            <w:r w:rsidRPr="00342CC2">
              <w:rPr>
                <w:rFonts w:ascii="Calibri" w:hAnsi="Calibri" w:cs="Arial"/>
                <w:snapToGrid w:val="0"/>
                <w:sz w:val="22"/>
                <w:szCs w:val="22"/>
                <w:lang w:eastAsia="en-US"/>
              </w:rPr>
              <w:t>Adjust the dose as advised by the specialist.</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rPr>
                <w:rFonts w:ascii="Calibri" w:hAnsi="Calibri" w:cs="Arial"/>
                <w:snapToGrid w:val="0"/>
                <w:szCs w:val="22"/>
                <w:lang w:eastAsia="en-US"/>
              </w:rPr>
            </w:pPr>
            <w:r w:rsidRPr="00342CC2">
              <w:rPr>
                <w:rFonts w:ascii="Calibri" w:hAnsi="Calibri" w:cs="Arial"/>
                <w:snapToGrid w:val="0"/>
                <w:sz w:val="22"/>
                <w:szCs w:val="22"/>
                <w:lang w:eastAsia="en-US"/>
              </w:rPr>
              <w:t>Monitor liver function (LFTs), U&amp;E’s FBC every 6 months and PSA levels as agreed with specialist</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rPr>
                <w:rFonts w:ascii="Calibri" w:hAnsi="Calibri" w:cs="Arial"/>
                <w:snapToGrid w:val="0"/>
                <w:szCs w:val="22"/>
                <w:lang w:eastAsia="en-US"/>
              </w:rPr>
            </w:pPr>
            <w:r w:rsidRPr="00342CC2">
              <w:rPr>
                <w:rFonts w:ascii="Calibri" w:hAnsi="Calibri" w:cs="Arial"/>
                <w:snapToGrid w:val="0"/>
                <w:sz w:val="22"/>
                <w:szCs w:val="22"/>
                <w:lang w:eastAsia="en-US"/>
              </w:rPr>
              <w:t xml:space="preserve">Seek specialist advice if LFTs rise, or if signs/symptoms of hepatic changes occur. </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rPr>
                <w:rFonts w:ascii="Calibri" w:hAnsi="Calibri" w:cs="Arial"/>
                <w:snapToGrid w:val="0"/>
                <w:szCs w:val="22"/>
                <w:lang w:eastAsia="en-US"/>
              </w:rPr>
            </w:pPr>
            <w:r w:rsidRPr="00342CC2">
              <w:rPr>
                <w:rFonts w:ascii="Calibri" w:hAnsi="Calibri" w:cs="Arial"/>
                <w:snapToGrid w:val="0"/>
                <w:sz w:val="22"/>
                <w:szCs w:val="22"/>
                <w:lang w:eastAsia="en-US"/>
              </w:rPr>
              <w:t>Prompt referral to specialist when any clinical suspicion of loss of efficacy (disease progression) is noted, e.g. worsening of disease related symptoms, new symptoms suggestive of disease progression such as bone pain, or rising PSA levels.</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rPr>
                <w:rFonts w:ascii="Calibri" w:hAnsi="Calibri" w:cs="Arial"/>
                <w:snapToGrid w:val="0"/>
                <w:szCs w:val="22"/>
                <w:lang w:eastAsia="en-US"/>
              </w:rPr>
            </w:pPr>
            <w:r w:rsidRPr="00342CC2">
              <w:rPr>
                <w:rFonts w:ascii="Calibri" w:hAnsi="Calibri" w:cs="Arial"/>
                <w:snapToGrid w:val="0"/>
                <w:sz w:val="22"/>
                <w:szCs w:val="22"/>
                <w:lang w:eastAsia="en-US"/>
              </w:rPr>
              <w:t>Report adverse events to specialist and CSM.</w:t>
            </w:r>
          </w:p>
        </w:tc>
      </w:tr>
      <w:tr w:rsidR="00342CC2" w:rsidRPr="00342CC2" w:rsidTr="00342CC2">
        <w:trPr>
          <w:trHeight w:val="240"/>
        </w:trPr>
        <w:tc>
          <w:tcPr>
            <w:tcW w:w="9781" w:type="dxa"/>
          </w:tcPr>
          <w:p w:rsidR="00342CC2" w:rsidRPr="00342CC2" w:rsidRDefault="00342CC2" w:rsidP="00342CC2">
            <w:pPr>
              <w:numPr>
                <w:ilvl w:val="0"/>
                <w:numId w:val="15"/>
              </w:numPr>
              <w:tabs>
                <w:tab w:val="left" w:pos="540"/>
              </w:tabs>
              <w:spacing w:after="0"/>
              <w:rPr>
                <w:rFonts w:ascii="Calibri" w:hAnsi="Calibri" w:cs="Arial"/>
                <w:snapToGrid w:val="0"/>
                <w:szCs w:val="22"/>
                <w:lang w:eastAsia="en-US"/>
              </w:rPr>
            </w:pPr>
            <w:r w:rsidRPr="00342CC2">
              <w:rPr>
                <w:rFonts w:ascii="Calibri" w:hAnsi="Calibri" w:cs="Arial"/>
                <w:snapToGrid w:val="0"/>
                <w:sz w:val="22"/>
                <w:szCs w:val="22"/>
                <w:lang w:eastAsia="en-US"/>
              </w:rPr>
              <w:t>Stop treatment on advice of specialist, or immediately if intolerable side effects occur e.g. gynaecomastia, clinically significant hepatic changes.</w:t>
            </w:r>
          </w:p>
        </w:tc>
      </w:tr>
    </w:tbl>
    <w:p w:rsidR="00342CC2" w:rsidRPr="00342CC2" w:rsidRDefault="00342CC2" w:rsidP="00282CE5">
      <w:pPr>
        <w:pStyle w:val="mtrachead3"/>
        <w:keepNext w:val="0"/>
        <w:jc w:val="both"/>
        <w:outlineLvl w:val="9"/>
        <w:rPr>
          <w:rFonts w:ascii="Calibri" w:hAnsi="Calibri" w:cs="Arial"/>
          <w:snapToGrid/>
          <w:sz w:val="4"/>
          <w:szCs w:val="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282CE5" w:rsidRPr="004D590E" w:rsidTr="00282CE5">
        <w:tc>
          <w:tcPr>
            <w:tcW w:w="9781" w:type="dxa"/>
          </w:tcPr>
          <w:p w:rsidR="00282CE5" w:rsidRPr="004D590E" w:rsidRDefault="00282CE5" w:rsidP="00282CE5">
            <w:pPr>
              <w:tabs>
                <w:tab w:val="left" w:pos="540"/>
              </w:tabs>
              <w:spacing w:after="0"/>
              <w:jc w:val="center"/>
              <w:rPr>
                <w:rFonts w:ascii="Calibri" w:hAnsi="Calibri" w:cs="Arial"/>
                <w:b/>
                <w:snapToGrid w:val="0"/>
                <w:szCs w:val="22"/>
                <w:lang w:eastAsia="en-US"/>
              </w:rPr>
            </w:pPr>
            <w:r w:rsidRPr="004D590E">
              <w:rPr>
                <w:rFonts w:ascii="Calibri" w:hAnsi="Calibri" w:cs="Arial"/>
                <w:b/>
                <w:sz w:val="22"/>
                <w:szCs w:val="22"/>
              </w:rPr>
              <w:t>Patient's r</w:t>
            </w:r>
            <w:r w:rsidRPr="004D590E">
              <w:rPr>
                <w:rFonts w:ascii="Calibri" w:hAnsi="Calibri" w:cs="Arial"/>
                <w:b/>
                <w:snapToGrid w:val="0"/>
                <w:sz w:val="22"/>
                <w:szCs w:val="22"/>
                <w:lang w:eastAsia="en-US"/>
              </w:rPr>
              <w:t>ole</w:t>
            </w:r>
          </w:p>
        </w:tc>
      </w:tr>
      <w:tr w:rsidR="00282CE5" w:rsidRPr="004D590E" w:rsidTr="00282CE5">
        <w:trPr>
          <w:trHeight w:val="240"/>
        </w:trPr>
        <w:tc>
          <w:tcPr>
            <w:tcW w:w="9781" w:type="dxa"/>
          </w:tcPr>
          <w:p w:rsidR="00282CE5" w:rsidRPr="004D590E" w:rsidRDefault="00282CE5" w:rsidP="00282CE5">
            <w:pPr>
              <w:numPr>
                <w:ilvl w:val="0"/>
                <w:numId w:val="16"/>
              </w:numPr>
              <w:spacing w:after="0"/>
              <w:jc w:val="both"/>
              <w:rPr>
                <w:rFonts w:ascii="Calibri" w:hAnsi="Calibri" w:cs="Arial"/>
                <w:szCs w:val="22"/>
              </w:rPr>
            </w:pPr>
            <w:r w:rsidRPr="004D590E">
              <w:rPr>
                <w:rFonts w:ascii="Calibri" w:hAnsi="Calibri" w:cs="Arial"/>
                <w:sz w:val="22"/>
                <w:szCs w:val="22"/>
              </w:rPr>
              <w:t>Report any adverse effects to their specialist or GP whilst taking bicalutamide.</w:t>
            </w:r>
          </w:p>
        </w:tc>
      </w:tr>
      <w:tr w:rsidR="00282CE5" w:rsidRPr="004D590E" w:rsidTr="00282CE5">
        <w:trPr>
          <w:trHeight w:val="240"/>
        </w:trPr>
        <w:tc>
          <w:tcPr>
            <w:tcW w:w="9781" w:type="dxa"/>
          </w:tcPr>
          <w:p w:rsidR="00282CE5" w:rsidRPr="004D590E" w:rsidRDefault="00282CE5" w:rsidP="00282CE5">
            <w:pPr>
              <w:numPr>
                <w:ilvl w:val="0"/>
                <w:numId w:val="16"/>
              </w:numPr>
              <w:spacing w:after="0"/>
              <w:jc w:val="both"/>
              <w:rPr>
                <w:rFonts w:ascii="Calibri" w:hAnsi="Calibri" w:cs="Arial"/>
                <w:szCs w:val="22"/>
              </w:rPr>
            </w:pPr>
            <w:r w:rsidRPr="004D590E">
              <w:rPr>
                <w:rFonts w:ascii="Calibri" w:hAnsi="Calibri" w:cs="Arial"/>
                <w:sz w:val="22"/>
                <w:szCs w:val="22"/>
              </w:rPr>
              <w:t>Share any concerns they have in relation to treatment with bicalutamide.</w:t>
            </w:r>
          </w:p>
        </w:tc>
      </w:tr>
      <w:tr w:rsidR="00282CE5" w:rsidRPr="004D590E" w:rsidTr="00282CE5">
        <w:trPr>
          <w:trHeight w:val="240"/>
        </w:trPr>
        <w:tc>
          <w:tcPr>
            <w:tcW w:w="9781" w:type="dxa"/>
          </w:tcPr>
          <w:p w:rsidR="00282CE5" w:rsidRPr="004D590E" w:rsidRDefault="00282CE5" w:rsidP="00282CE5">
            <w:pPr>
              <w:numPr>
                <w:ilvl w:val="0"/>
                <w:numId w:val="16"/>
              </w:numPr>
              <w:spacing w:after="0"/>
              <w:jc w:val="both"/>
              <w:rPr>
                <w:rFonts w:ascii="Calibri" w:hAnsi="Calibri" w:cs="Arial"/>
                <w:szCs w:val="22"/>
              </w:rPr>
            </w:pPr>
            <w:r w:rsidRPr="004D590E">
              <w:rPr>
                <w:rFonts w:ascii="Calibri" w:hAnsi="Calibri" w:cs="Arial"/>
                <w:sz w:val="22"/>
                <w:szCs w:val="22"/>
              </w:rPr>
              <w:t>Report to the specialist or GP if they do not have a clear understanding of their treatment.</w:t>
            </w:r>
          </w:p>
        </w:tc>
      </w:tr>
    </w:tbl>
    <w:p w:rsidR="00282CE5" w:rsidRPr="00342CC2" w:rsidRDefault="00282CE5" w:rsidP="00282CE5">
      <w:pPr>
        <w:spacing w:after="0"/>
        <w:jc w:val="both"/>
        <w:rPr>
          <w:rFonts w:ascii="Calibri" w:hAnsi="Calibri" w:cs="Arial"/>
          <w:sz w:val="4"/>
          <w:szCs w:val="4"/>
        </w:rPr>
      </w:pPr>
    </w:p>
    <w:p w:rsidR="00342CC2" w:rsidRDefault="00342CC2" w:rsidP="00282CE5">
      <w:pPr>
        <w:pStyle w:val="mtrachead3"/>
        <w:jc w:val="both"/>
        <w:rPr>
          <w:rFonts w:ascii="Calibri" w:hAnsi="Calibri" w:cs="Arial"/>
          <w:snapToGrid/>
        </w:rPr>
      </w:pPr>
    </w:p>
    <w:p w:rsidR="00282CE5" w:rsidRPr="00E362C5" w:rsidRDefault="00282CE5" w:rsidP="00282CE5">
      <w:pPr>
        <w:pStyle w:val="mtrachead3"/>
        <w:jc w:val="both"/>
        <w:rPr>
          <w:rFonts w:ascii="Calibri" w:hAnsi="Calibri" w:cs="Arial"/>
          <w:snapToGrid/>
        </w:rPr>
      </w:pPr>
      <w:r w:rsidRPr="00E362C5">
        <w:rPr>
          <w:rFonts w:ascii="Calibri" w:hAnsi="Calibri" w:cs="Arial"/>
          <w:snapToGrid/>
        </w:rPr>
        <w:t>BACK-UP ADVICE AND SUPPORT</w:t>
      </w:r>
    </w:p>
    <w:tbl>
      <w:tblPr>
        <w:tblW w:w="978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5"/>
        <w:gridCol w:w="1842"/>
        <w:gridCol w:w="993"/>
        <w:gridCol w:w="1559"/>
        <w:gridCol w:w="1842"/>
      </w:tblGrid>
      <w:tr w:rsidR="00282CE5" w:rsidRPr="00282CE5" w:rsidTr="00282CE5">
        <w:trPr>
          <w:cantSplit/>
        </w:trPr>
        <w:tc>
          <w:tcPr>
            <w:tcW w:w="3545" w:type="dxa"/>
          </w:tcPr>
          <w:p w:rsidR="00282CE5" w:rsidRPr="00282CE5" w:rsidRDefault="00282CE5" w:rsidP="00282CE5">
            <w:pPr>
              <w:spacing w:after="0"/>
              <w:jc w:val="both"/>
              <w:rPr>
                <w:rFonts w:ascii="Calibri" w:hAnsi="Calibri" w:cs="Arial"/>
                <w:szCs w:val="22"/>
              </w:rPr>
            </w:pPr>
            <w:r w:rsidRPr="00282CE5">
              <w:rPr>
                <w:rFonts w:ascii="Calibri" w:hAnsi="Calibri" w:cs="Arial"/>
                <w:sz w:val="22"/>
                <w:szCs w:val="22"/>
              </w:rPr>
              <w:t>Contact details</w:t>
            </w:r>
          </w:p>
        </w:tc>
        <w:tc>
          <w:tcPr>
            <w:tcW w:w="1842" w:type="dxa"/>
          </w:tcPr>
          <w:p w:rsidR="00282CE5" w:rsidRPr="00282CE5" w:rsidRDefault="00282CE5" w:rsidP="00282CE5">
            <w:pPr>
              <w:spacing w:after="0"/>
              <w:jc w:val="both"/>
              <w:rPr>
                <w:rFonts w:ascii="Calibri" w:hAnsi="Calibri" w:cs="Arial"/>
                <w:szCs w:val="22"/>
              </w:rPr>
            </w:pPr>
            <w:r w:rsidRPr="00282CE5">
              <w:rPr>
                <w:rFonts w:ascii="Calibri" w:hAnsi="Calibri" w:cs="Arial"/>
                <w:sz w:val="22"/>
                <w:szCs w:val="22"/>
              </w:rPr>
              <w:t>Telephone No.</w:t>
            </w:r>
          </w:p>
        </w:tc>
        <w:tc>
          <w:tcPr>
            <w:tcW w:w="993" w:type="dxa"/>
          </w:tcPr>
          <w:p w:rsidR="00282CE5" w:rsidRPr="00282CE5" w:rsidRDefault="00282CE5" w:rsidP="00282CE5">
            <w:pPr>
              <w:spacing w:after="0"/>
              <w:jc w:val="both"/>
              <w:rPr>
                <w:rFonts w:ascii="Calibri" w:hAnsi="Calibri" w:cs="Arial"/>
                <w:szCs w:val="22"/>
              </w:rPr>
            </w:pPr>
            <w:r w:rsidRPr="00282CE5">
              <w:rPr>
                <w:rFonts w:ascii="Calibri" w:hAnsi="Calibri" w:cs="Arial"/>
                <w:sz w:val="22"/>
                <w:szCs w:val="22"/>
              </w:rPr>
              <w:t>Bleep:</w:t>
            </w:r>
          </w:p>
        </w:tc>
        <w:tc>
          <w:tcPr>
            <w:tcW w:w="1559" w:type="dxa"/>
          </w:tcPr>
          <w:p w:rsidR="00282CE5" w:rsidRPr="00282CE5" w:rsidRDefault="00282CE5" w:rsidP="00282CE5">
            <w:pPr>
              <w:spacing w:after="0"/>
              <w:jc w:val="both"/>
              <w:rPr>
                <w:rFonts w:ascii="Calibri" w:hAnsi="Calibri" w:cs="Arial"/>
                <w:szCs w:val="22"/>
              </w:rPr>
            </w:pPr>
            <w:r w:rsidRPr="00282CE5">
              <w:rPr>
                <w:rFonts w:ascii="Calibri" w:hAnsi="Calibri" w:cs="Arial"/>
                <w:sz w:val="22"/>
                <w:szCs w:val="22"/>
              </w:rPr>
              <w:t>Fax:</w:t>
            </w:r>
          </w:p>
        </w:tc>
        <w:tc>
          <w:tcPr>
            <w:tcW w:w="1842" w:type="dxa"/>
          </w:tcPr>
          <w:p w:rsidR="00282CE5" w:rsidRPr="00282CE5" w:rsidRDefault="00282CE5" w:rsidP="00282CE5">
            <w:pPr>
              <w:spacing w:after="0"/>
              <w:jc w:val="both"/>
              <w:rPr>
                <w:rFonts w:ascii="Calibri" w:hAnsi="Calibri" w:cs="Arial"/>
                <w:szCs w:val="22"/>
              </w:rPr>
            </w:pPr>
            <w:r w:rsidRPr="00282CE5">
              <w:rPr>
                <w:rFonts w:ascii="Calibri" w:hAnsi="Calibri" w:cs="Arial"/>
                <w:sz w:val="22"/>
                <w:szCs w:val="22"/>
              </w:rPr>
              <w:t>Email address:</w:t>
            </w:r>
          </w:p>
        </w:tc>
      </w:tr>
      <w:tr w:rsidR="00282CE5" w:rsidRPr="00282CE5" w:rsidTr="00282CE5">
        <w:trPr>
          <w:cantSplit/>
        </w:trPr>
        <w:tc>
          <w:tcPr>
            <w:tcW w:w="3545" w:type="dxa"/>
          </w:tcPr>
          <w:p w:rsidR="00282CE5" w:rsidRPr="00282CE5" w:rsidRDefault="00282CE5" w:rsidP="00282CE5">
            <w:pPr>
              <w:pStyle w:val="mtrachead3"/>
              <w:keepNext w:val="0"/>
              <w:jc w:val="both"/>
              <w:rPr>
                <w:rFonts w:ascii="Calibri" w:hAnsi="Calibri" w:cs="Arial"/>
                <w:snapToGrid/>
                <w:sz w:val="22"/>
                <w:szCs w:val="22"/>
              </w:rPr>
            </w:pPr>
            <w:r w:rsidRPr="00282CE5">
              <w:rPr>
                <w:rFonts w:ascii="Calibri" w:hAnsi="Calibri" w:cs="Arial"/>
                <w:snapToGrid/>
                <w:sz w:val="22"/>
                <w:szCs w:val="22"/>
              </w:rPr>
              <w:t>Specialist:</w:t>
            </w:r>
          </w:p>
        </w:tc>
        <w:tc>
          <w:tcPr>
            <w:tcW w:w="1842" w:type="dxa"/>
          </w:tcPr>
          <w:p w:rsidR="00282CE5" w:rsidRPr="00282CE5" w:rsidRDefault="00282CE5" w:rsidP="00282CE5">
            <w:pPr>
              <w:spacing w:after="0"/>
              <w:jc w:val="both"/>
              <w:rPr>
                <w:rFonts w:ascii="Calibri" w:hAnsi="Calibri" w:cs="Arial"/>
                <w:szCs w:val="22"/>
              </w:rPr>
            </w:pPr>
          </w:p>
        </w:tc>
        <w:tc>
          <w:tcPr>
            <w:tcW w:w="993" w:type="dxa"/>
          </w:tcPr>
          <w:p w:rsidR="00282CE5" w:rsidRPr="00282CE5" w:rsidRDefault="00282CE5" w:rsidP="00282CE5">
            <w:pPr>
              <w:spacing w:after="0"/>
              <w:jc w:val="both"/>
              <w:rPr>
                <w:rFonts w:ascii="Calibri" w:hAnsi="Calibri" w:cs="Arial"/>
                <w:szCs w:val="22"/>
              </w:rPr>
            </w:pPr>
          </w:p>
        </w:tc>
        <w:tc>
          <w:tcPr>
            <w:tcW w:w="1559" w:type="dxa"/>
          </w:tcPr>
          <w:p w:rsidR="00282CE5" w:rsidRPr="00282CE5" w:rsidRDefault="00282CE5" w:rsidP="00282CE5">
            <w:pPr>
              <w:spacing w:after="0"/>
              <w:jc w:val="both"/>
              <w:rPr>
                <w:rFonts w:ascii="Calibri" w:hAnsi="Calibri" w:cs="Arial"/>
                <w:szCs w:val="22"/>
              </w:rPr>
            </w:pPr>
          </w:p>
        </w:tc>
        <w:tc>
          <w:tcPr>
            <w:tcW w:w="1842" w:type="dxa"/>
          </w:tcPr>
          <w:p w:rsidR="00282CE5" w:rsidRPr="00282CE5" w:rsidRDefault="00282CE5" w:rsidP="00282CE5">
            <w:pPr>
              <w:spacing w:after="0"/>
              <w:jc w:val="both"/>
              <w:rPr>
                <w:rFonts w:ascii="Calibri" w:hAnsi="Calibri" w:cs="Arial"/>
                <w:szCs w:val="22"/>
              </w:rPr>
            </w:pPr>
          </w:p>
        </w:tc>
      </w:tr>
      <w:tr w:rsidR="00282CE5" w:rsidRPr="00282CE5" w:rsidTr="00282CE5">
        <w:trPr>
          <w:cantSplit/>
        </w:trPr>
        <w:tc>
          <w:tcPr>
            <w:tcW w:w="3545" w:type="dxa"/>
          </w:tcPr>
          <w:p w:rsidR="00282CE5" w:rsidRPr="00282CE5" w:rsidRDefault="00282CE5" w:rsidP="00282CE5">
            <w:pPr>
              <w:spacing w:after="0"/>
              <w:jc w:val="both"/>
              <w:rPr>
                <w:rFonts w:ascii="Calibri" w:hAnsi="Calibri" w:cs="Arial"/>
                <w:b/>
                <w:szCs w:val="22"/>
              </w:rPr>
            </w:pPr>
            <w:r w:rsidRPr="00282CE5">
              <w:rPr>
                <w:rFonts w:ascii="Calibri" w:hAnsi="Calibri" w:cs="Arial"/>
                <w:b/>
                <w:sz w:val="22"/>
                <w:szCs w:val="22"/>
              </w:rPr>
              <w:t>Hospital Pharmacy Dept:</w:t>
            </w:r>
          </w:p>
        </w:tc>
        <w:tc>
          <w:tcPr>
            <w:tcW w:w="1842" w:type="dxa"/>
          </w:tcPr>
          <w:p w:rsidR="00282CE5" w:rsidRPr="00282CE5" w:rsidRDefault="00282CE5" w:rsidP="00282CE5">
            <w:pPr>
              <w:spacing w:after="0"/>
              <w:jc w:val="both"/>
              <w:rPr>
                <w:rFonts w:ascii="Calibri" w:hAnsi="Calibri" w:cs="Arial"/>
                <w:szCs w:val="22"/>
              </w:rPr>
            </w:pPr>
          </w:p>
        </w:tc>
        <w:tc>
          <w:tcPr>
            <w:tcW w:w="993" w:type="dxa"/>
          </w:tcPr>
          <w:p w:rsidR="00282CE5" w:rsidRPr="00282CE5" w:rsidRDefault="00282CE5" w:rsidP="00282CE5">
            <w:pPr>
              <w:spacing w:after="0"/>
              <w:jc w:val="both"/>
              <w:rPr>
                <w:rFonts w:ascii="Calibri" w:hAnsi="Calibri" w:cs="Arial"/>
                <w:szCs w:val="22"/>
              </w:rPr>
            </w:pPr>
          </w:p>
        </w:tc>
        <w:tc>
          <w:tcPr>
            <w:tcW w:w="1559" w:type="dxa"/>
          </w:tcPr>
          <w:p w:rsidR="00282CE5" w:rsidRPr="00282CE5" w:rsidRDefault="00282CE5" w:rsidP="00282CE5">
            <w:pPr>
              <w:spacing w:after="0"/>
              <w:jc w:val="both"/>
              <w:rPr>
                <w:rFonts w:ascii="Calibri" w:hAnsi="Calibri" w:cs="Arial"/>
                <w:szCs w:val="22"/>
              </w:rPr>
            </w:pPr>
          </w:p>
        </w:tc>
        <w:tc>
          <w:tcPr>
            <w:tcW w:w="1842" w:type="dxa"/>
          </w:tcPr>
          <w:p w:rsidR="00282CE5" w:rsidRPr="00282CE5" w:rsidRDefault="00282CE5" w:rsidP="00282CE5">
            <w:pPr>
              <w:spacing w:after="0"/>
              <w:jc w:val="both"/>
              <w:rPr>
                <w:rFonts w:ascii="Calibri" w:hAnsi="Calibri" w:cs="Arial"/>
                <w:szCs w:val="22"/>
              </w:rPr>
            </w:pPr>
          </w:p>
        </w:tc>
      </w:tr>
      <w:tr w:rsidR="00282CE5" w:rsidRPr="00282CE5" w:rsidTr="00282CE5">
        <w:trPr>
          <w:cantSplit/>
        </w:trPr>
        <w:tc>
          <w:tcPr>
            <w:tcW w:w="3545" w:type="dxa"/>
          </w:tcPr>
          <w:p w:rsidR="00282CE5" w:rsidRPr="00282CE5" w:rsidRDefault="00282CE5" w:rsidP="00282CE5">
            <w:pPr>
              <w:spacing w:after="0"/>
              <w:jc w:val="both"/>
              <w:rPr>
                <w:rFonts w:ascii="Calibri" w:hAnsi="Calibri" w:cs="Arial"/>
                <w:b/>
                <w:szCs w:val="22"/>
              </w:rPr>
            </w:pPr>
            <w:r w:rsidRPr="00282CE5">
              <w:rPr>
                <w:rFonts w:ascii="Calibri" w:hAnsi="Calibri" w:cs="Arial"/>
                <w:b/>
                <w:sz w:val="22"/>
                <w:szCs w:val="22"/>
              </w:rPr>
              <w:t>Other:</w:t>
            </w:r>
          </w:p>
        </w:tc>
        <w:tc>
          <w:tcPr>
            <w:tcW w:w="1842" w:type="dxa"/>
          </w:tcPr>
          <w:p w:rsidR="00282CE5" w:rsidRPr="00282CE5" w:rsidRDefault="00282CE5" w:rsidP="00282CE5">
            <w:pPr>
              <w:spacing w:after="0"/>
              <w:jc w:val="both"/>
              <w:rPr>
                <w:rFonts w:ascii="Calibri" w:hAnsi="Calibri" w:cs="Arial"/>
                <w:szCs w:val="22"/>
              </w:rPr>
            </w:pPr>
          </w:p>
        </w:tc>
        <w:tc>
          <w:tcPr>
            <w:tcW w:w="993" w:type="dxa"/>
          </w:tcPr>
          <w:p w:rsidR="00282CE5" w:rsidRPr="00282CE5" w:rsidRDefault="00282CE5" w:rsidP="00282CE5">
            <w:pPr>
              <w:spacing w:after="0"/>
              <w:jc w:val="both"/>
              <w:rPr>
                <w:rFonts w:ascii="Calibri" w:hAnsi="Calibri" w:cs="Arial"/>
                <w:szCs w:val="22"/>
              </w:rPr>
            </w:pPr>
          </w:p>
        </w:tc>
        <w:tc>
          <w:tcPr>
            <w:tcW w:w="1559" w:type="dxa"/>
          </w:tcPr>
          <w:p w:rsidR="00282CE5" w:rsidRPr="00282CE5" w:rsidRDefault="00282CE5" w:rsidP="00282CE5">
            <w:pPr>
              <w:spacing w:after="0"/>
              <w:jc w:val="both"/>
              <w:rPr>
                <w:rFonts w:ascii="Calibri" w:hAnsi="Calibri" w:cs="Arial"/>
                <w:szCs w:val="22"/>
              </w:rPr>
            </w:pPr>
          </w:p>
        </w:tc>
        <w:tc>
          <w:tcPr>
            <w:tcW w:w="1842" w:type="dxa"/>
          </w:tcPr>
          <w:p w:rsidR="00282CE5" w:rsidRPr="00282CE5" w:rsidRDefault="00282CE5" w:rsidP="00282CE5">
            <w:pPr>
              <w:spacing w:after="0"/>
              <w:jc w:val="both"/>
              <w:rPr>
                <w:rFonts w:ascii="Calibri" w:hAnsi="Calibri" w:cs="Arial"/>
                <w:szCs w:val="22"/>
              </w:rPr>
            </w:pPr>
          </w:p>
        </w:tc>
      </w:tr>
    </w:tbl>
    <w:p w:rsidR="000407B7" w:rsidRPr="003B223A" w:rsidRDefault="00282CE5" w:rsidP="000407B7">
      <w:pPr>
        <w:spacing w:after="0"/>
        <w:rPr>
          <w:rFonts w:ascii="Calibri" w:hAnsi="Calibri" w:cs="Arial"/>
        </w:rPr>
      </w:pPr>
      <w:r w:rsidRPr="00E362C5">
        <w:rPr>
          <w:rFonts w:ascii="Calibri" w:hAnsi="Calibri" w:cs="Arial"/>
        </w:rPr>
        <w:br w:type="page"/>
      </w:r>
      <w:r w:rsidR="000407B7" w:rsidRPr="00E362C5">
        <w:rPr>
          <w:rFonts w:ascii="Calibri" w:hAnsi="Calibri" w:cs="Arial"/>
          <w:b/>
        </w:rPr>
        <w:lastRenderedPageBreak/>
        <w:t>SUPPORTING INFORMATION</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3969"/>
        <w:gridCol w:w="3861"/>
      </w:tblGrid>
      <w:tr w:rsidR="000407B7" w:rsidRPr="000407B7" w:rsidTr="000407B7">
        <w:tc>
          <w:tcPr>
            <w:tcW w:w="1951" w:type="dxa"/>
          </w:tcPr>
          <w:p w:rsidR="000407B7" w:rsidRPr="000407B7" w:rsidRDefault="000407B7" w:rsidP="000407B7">
            <w:pPr>
              <w:spacing w:after="0"/>
              <w:rPr>
                <w:rFonts w:ascii="Calibri" w:hAnsi="Calibri" w:cs="Arial"/>
                <w:szCs w:val="22"/>
              </w:rPr>
            </w:pPr>
          </w:p>
        </w:tc>
        <w:tc>
          <w:tcPr>
            <w:tcW w:w="3969" w:type="dxa"/>
          </w:tcPr>
          <w:p w:rsidR="000407B7" w:rsidRPr="000407B7" w:rsidRDefault="000407B7" w:rsidP="000407B7">
            <w:pPr>
              <w:spacing w:after="0"/>
              <w:jc w:val="center"/>
              <w:rPr>
                <w:rFonts w:ascii="Calibri" w:hAnsi="Calibri" w:cs="Arial"/>
                <w:b/>
                <w:szCs w:val="22"/>
              </w:rPr>
            </w:pPr>
            <w:r w:rsidRPr="000407B7">
              <w:rPr>
                <w:rFonts w:ascii="Calibri" w:hAnsi="Calibri" w:cs="Arial"/>
                <w:b/>
                <w:sz w:val="22"/>
                <w:szCs w:val="22"/>
              </w:rPr>
              <w:t>Bicalutamide 50mg</w:t>
            </w:r>
          </w:p>
        </w:tc>
        <w:tc>
          <w:tcPr>
            <w:tcW w:w="3861" w:type="dxa"/>
          </w:tcPr>
          <w:p w:rsidR="000407B7" w:rsidRPr="000407B7" w:rsidRDefault="000407B7" w:rsidP="000407B7">
            <w:pPr>
              <w:spacing w:after="0"/>
              <w:jc w:val="center"/>
              <w:rPr>
                <w:rFonts w:ascii="Calibri" w:hAnsi="Calibri" w:cs="Arial"/>
                <w:b/>
                <w:szCs w:val="22"/>
              </w:rPr>
            </w:pPr>
            <w:r w:rsidRPr="000407B7">
              <w:rPr>
                <w:rFonts w:ascii="Calibri" w:hAnsi="Calibri" w:cs="Arial"/>
                <w:b/>
                <w:sz w:val="22"/>
                <w:szCs w:val="22"/>
              </w:rPr>
              <w:t>Bicalutamide 150mg</w:t>
            </w:r>
          </w:p>
        </w:tc>
      </w:tr>
      <w:tr w:rsidR="000407B7" w:rsidRPr="000407B7" w:rsidTr="000407B7">
        <w:tc>
          <w:tcPr>
            <w:tcW w:w="1951" w:type="dxa"/>
          </w:tcPr>
          <w:p w:rsidR="000407B7" w:rsidRPr="000407B7" w:rsidRDefault="000407B7" w:rsidP="000407B7">
            <w:pPr>
              <w:spacing w:after="0"/>
              <w:rPr>
                <w:rFonts w:ascii="Calibri" w:hAnsi="Calibri" w:cs="Arial"/>
                <w:b/>
                <w:szCs w:val="22"/>
              </w:rPr>
            </w:pPr>
            <w:r w:rsidRPr="000407B7">
              <w:rPr>
                <w:rFonts w:ascii="Calibri" w:hAnsi="Calibri" w:cs="Arial"/>
                <w:b/>
                <w:sz w:val="22"/>
                <w:szCs w:val="22"/>
              </w:rPr>
              <w:t>Licensed indications</w:t>
            </w:r>
          </w:p>
          <w:p w:rsidR="000407B7" w:rsidRPr="000407B7" w:rsidRDefault="000407B7" w:rsidP="000407B7">
            <w:pPr>
              <w:spacing w:after="0"/>
              <w:rPr>
                <w:rFonts w:ascii="Calibri" w:hAnsi="Calibri" w:cs="Arial"/>
                <w:i/>
                <w:szCs w:val="22"/>
              </w:rPr>
            </w:pPr>
          </w:p>
        </w:tc>
        <w:tc>
          <w:tcPr>
            <w:tcW w:w="3969" w:type="dxa"/>
          </w:tcPr>
          <w:p w:rsidR="000407B7" w:rsidRPr="000407B7" w:rsidRDefault="000407B7" w:rsidP="000407B7">
            <w:pPr>
              <w:spacing w:after="0"/>
              <w:jc w:val="both"/>
              <w:rPr>
                <w:rFonts w:ascii="Calibri" w:hAnsi="Calibri" w:cs="Arial"/>
                <w:i/>
                <w:szCs w:val="22"/>
              </w:rPr>
            </w:pPr>
            <w:r w:rsidRPr="000407B7">
              <w:rPr>
                <w:rFonts w:ascii="Calibri" w:hAnsi="Calibri" w:cs="Arial"/>
                <w:color w:val="000000"/>
                <w:sz w:val="22"/>
                <w:szCs w:val="22"/>
                <w:shd w:val="clear" w:color="auto" w:fill="FFFFFF"/>
              </w:rPr>
              <w:t>Treatment of advanced prostate cancer in combination with LHRH analogue therapy or surgical castration</w:t>
            </w:r>
          </w:p>
        </w:tc>
        <w:tc>
          <w:tcPr>
            <w:tcW w:w="3861" w:type="dxa"/>
          </w:tcPr>
          <w:p w:rsidR="000407B7" w:rsidRPr="000407B7" w:rsidRDefault="000407B7" w:rsidP="000407B7">
            <w:pPr>
              <w:numPr>
                <w:ilvl w:val="0"/>
                <w:numId w:val="17"/>
              </w:numPr>
              <w:spacing w:after="0"/>
              <w:jc w:val="both"/>
              <w:rPr>
                <w:rFonts w:ascii="Calibri" w:hAnsi="Calibri" w:cs="Arial"/>
                <w:szCs w:val="22"/>
              </w:rPr>
            </w:pPr>
            <w:r w:rsidRPr="000407B7">
              <w:rPr>
                <w:rFonts w:ascii="Calibri" w:hAnsi="Calibri" w:cs="Arial"/>
                <w:sz w:val="22"/>
                <w:szCs w:val="22"/>
              </w:rPr>
              <w:t>‘In patients with locally advanced prostate cancer (T3-T4, any N, MO; T1-T2,N+, MO),’ bicalutamide 150mg ‘is indicated as immediate therapy either alone or as adjuvant to treatment by radical prostatectomy or radiotherapy’</w:t>
            </w:r>
          </w:p>
          <w:p w:rsidR="000407B7" w:rsidRPr="000407B7" w:rsidRDefault="000407B7" w:rsidP="000407B7">
            <w:pPr>
              <w:numPr>
                <w:ilvl w:val="0"/>
                <w:numId w:val="17"/>
              </w:numPr>
              <w:spacing w:after="0"/>
              <w:jc w:val="both"/>
              <w:rPr>
                <w:rFonts w:ascii="Calibri" w:hAnsi="Calibri" w:cs="Arial"/>
                <w:szCs w:val="22"/>
              </w:rPr>
            </w:pPr>
            <w:r w:rsidRPr="000407B7">
              <w:rPr>
                <w:rFonts w:ascii="Calibri" w:hAnsi="Calibri" w:cs="Arial"/>
                <w:sz w:val="22"/>
                <w:szCs w:val="22"/>
              </w:rPr>
              <w:t>‘The management of patients with locally advanced, non-metastatic prostate cancer for whom surgical castration or other medical intervention is not considered appropriate or acceptable.’</w:t>
            </w:r>
          </w:p>
        </w:tc>
      </w:tr>
      <w:tr w:rsidR="000407B7" w:rsidRPr="000407B7" w:rsidTr="000407B7">
        <w:tc>
          <w:tcPr>
            <w:tcW w:w="1951" w:type="dxa"/>
          </w:tcPr>
          <w:p w:rsidR="000407B7" w:rsidRPr="000407B7" w:rsidRDefault="000407B7" w:rsidP="000407B7">
            <w:pPr>
              <w:pStyle w:val="mtrachead3"/>
              <w:keepNext w:val="0"/>
              <w:rPr>
                <w:rFonts w:ascii="Calibri" w:hAnsi="Calibri" w:cs="Arial"/>
                <w:snapToGrid/>
                <w:sz w:val="22"/>
                <w:szCs w:val="22"/>
              </w:rPr>
            </w:pPr>
            <w:r w:rsidRPr="000407B7">
              <w:rPr>
                <w:rFonts w:ascii="Calibri" w:hAnsi="Calibri" w:cs="Arial"/>
                <w:snapToGrid/>
                <w:sz w:val="22"/>
                <w:szCs w:val="22"/>
              </w:rPr>
              <w:t>Dosage and Administration</w:t>
            </w:r>
          </w:p>
          <w:p w:rsidR="000407B7" w:rsidRPr="000407B7" w:rsidRDefault="000407B7" w:rsidP="000407B7">
            <w:pPr>
              <w:spacing w:after="0"/>
              <w:rPr>
                <w:rFonts w:ascii="Calibri" w:hAnsi="Calibri" w:cs="Arial"/>
                <w:b/>
                <w:szCs w:val="22"/>
              </w:rPr>
            </w:pPr>
          </w:p>
        </w:tc>
        <w:tc>
          <w:tcPr>
            <w:tcW w:w="3969" w:type="dxa"/>
          </w:tcPr>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r w:rsidRPr="000407B7">
              <w:rPr>
                <w:rFonts w:ascii="Calibri" w:hAnsi="Calibri" w:cs="Arial"/>
                <w:sz w:val="22"/>
                <w:szCs w:val="22"/>
              </w:rPr>
              <w:t>One tablet (50 mg) once a day.</w:t>
            </w:r>
          </w:p>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p>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r w:rsidRPr="000407B7">
              <w:rPr>
                <w:rFonts w:ascii="Calibri" w:hAnsi="Calibri" w:cs="Arial"/>
                <w:sz w:val="22"/>
                <w:szCs w:val="22"/>
              </w:rPr>
              <w:t>Treatment with bicalutamide 50mg should be started at least 3 days before commencing treatment with an LHRH analogue, or at the same time as surgical castration</w:t>
            </w:r>
          </w:p>
        </w:tc>
        <w:tc>
          <w:tcPr>
            <w:tcW w:w="3861" w:type="dxa"/>
          </w:tcPr>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r w:rsidRPr="000407B7">
              <w:rPr>
                <w:rFonts w:ascii="Calibri" w:hAnsi="Calibri" w:cs="Arial"/>
                <w:sz w:val="22"/>
                <w:szCs w:val="22"/>
              </w:rPr>
              <w:t>One tablet (150 mg) once a day.</w:t>
            </w:r>
          </w:p>
          <w:p w:rsidR="000407B7" w:rsidRPr="000407B7" w:rsidRDefault="000407B7" w:rsidP="000407B7">
            <w:pPr>
              <w:spacing w:after="0"/>
              <w:jc w:val="both"/>
              <w:rPr>
                <w:rFonts w:ascii="Calibri" w:hAnsi="Calibri" w:cs="Arial"/>
                <w:szCs w:val="22"/>
              </w:rPr>
            </w:pPr>
          </w:p>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r w:rsidRPr="000407B7">
              <w:rPr>
                <w:rFonts w:ascii="Calibri" w:hAnsi="Calibri" w:cs="Arial"/>
                <w:sz w:val="22"/>
                <w:szCs w:val="22"/>
              </w:rPr>
              <w:t>Bicalutamide 150 mg should be taken continuously for at least 2 years or until disease progression.</w:t>
            </w:r>
          </w:p>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p>
        </w:tc>
      </w:tr>
      <w:tr w:rsidR="000407B7" w:rsidRPr="000407B7" w:rsidTr="000407B7">
        <w:tc>
          <w:tcPr>
            <w:tcW w:w="1951" w:type="dxa"/>
          </w:tcPr>
          <w:p w:rsidR="000407B7" w:rsidRPr="000407B7" w:rsidRDefault="000407B7" w:rsidP="000407B7">
            <w:pPr>
              <w:pStyle w:val="mtrachead3"/>
              <w:keepNext w:val="0"/>
              <w:rPr>
                <w:rFonts w:ascii="Calibri" w:hAnsi="Calibri" w:cs="Arial"/>
                <w:snapToGrid/>
                <w:sz w:val="22"/>
                <w:szCs w:val="22"/>
              </w:rPr>
            </w:pPr>
            <w:r w:rsidRPr="000407B7">
              <w:rPr>
                <w:rFonts w:ascii="Calibri" w:hAnsi="Calibri" w:cs="Arial"/>
                <w:color w:val="000000"/>
                <w:sz w:val="22"/>
                <w:szCs w:val="22"/>
              </w:rPr>
              <w:t>Renal impairment</w:t>
            </w:r>
          </w:p>
        </w:tc>
        <w:tc>
          <w:tcPr>
            <w:tcW w:w="7830" w:type="dxa"/>
            <w:gridSpan w:val="2"/>
          </w:tcPr>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r w:rsidRPr="000407B7">
              <w:rPr>
                <w:rFonts w:ascii="Calibri" w:hAnsi="Calibri" w:cs="Arial"/>
                <w:sz w:val="22"/>
                <w:szCs w:val="22"/>
              </w:rPr>
              <w:t>No dosage adjustment is necessary for patients with renal impairment.</w:t>
            </w:r>
          </w:p>
        </w:tc>
      </w:tr>
      <w:tr w:rsidR="000407B7" w:rsidRPr="000407B7" w:rsidTr="000407B7">
        <w:tc>
          <w:tcPr>
            <w:tcW w:w="1951" w:type="dxa"/>
          </w:tcPr>
          <w:p w:rsidR="000407B7" w:rsidRPr="000407B7" w:rsidRDefault="000407B7" w:rsidP="000407B7">
            <w:pPr>
              <w:pStyle w:val="mtrachead3"/>
              <w:keepNext w:val="0"/>
              <w:rPr>
                <w:rFonts w:ascii="Calibri" w:hAnsi="Calibri" w:cs="Arial"/>
                <w:snapToGrid/>
                <w:sz w:val="22"/>
                <w:szCs w:val="22"/>
              </w:rPr>
            </w:pPr>
            <w:r w:rsidRPr="000407B7">
              <w:rPr>
                <w:rFonts w:ascii="Calibri" w:hAnsi="Calibri" w:cs="Arial"/>
                <w:color w:val="000000"/>
                <w:sz w:val="22"/>
                <w:szCs w:val="22"/>
              </w:rPr>
              <w:t>Hepatic impairment</w:t>
            </w:r>
          </w:p>
        </w:tc>
        <w:tc>
          <w:tcPr>
            <w:tcW w:w="7830" w:type="dxa"/>
            <w:gridSpan w:val="2"/>
          </w:tcPr>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r w:rsidRPr="000407B7">
              <w:rPr>
                <w:rFonts w:ascii="Calibri" w:hAnsi="Calibri" w:cs="Arial"/>
                <w:sz w:val="22"/>
                <w:szCs w:val="22"/>
              </w:rPr>
              <w:t>No dosage adjustment is necessary for patients with mild hepatic impairment. Increased accumulation may occur in patients with moderate to severe hepatic impairment</w:t>
            </w:r>
          </w:p>
        </w:tc>
      </w:tr>
      <w:tr w:rsidR="000407B7" w:rsidRPr="000407B7" w:rsidTr="000407B7">
        <w:tc>
          <w:tcPr>
            <w:tcW w:w="1951" w:type="dxa"/>
          </w:tcPr>
          <w:p w:rsidR="000407B7" w:rsidRPr="000407B7" w:rsidRDefault="000407B7" w:rsidP="000407B7">
            <w:pPr>
              <w:spacing w:after="0"/>
              <w:rPr>
                <w:rFonts w:ascii="Calibri" w:hAnsi="Calibri" w:cs="Arial"/>
                <w:b/>
                <w:szCs w:val="22"/>
              </w:rPr>
            </w:pPr>
            <w:r w:rsidRPr="000407B7">
              <w:rPr>
                <w:rFonts w:ascii="Calibri" w:hAnsi="Calibri" w:cs="Arial"/>
                <w:b/>
                <w:sz w:val="22"/>
                <w:szCs w:val="22"/>
              </w:rPr>
              <w:t>Contraindications</w:t>
            </w:r>
          </w:p>
          <w:p w:rsidR="000407B7" w:rsidRPr="000407B7" w:rsidRDefault="000407B7" w:rsidP="000407B7">
            <w:pPr>
              <w:pStyle w:val="mtrachead3"/>
              <w:keepNext w:val="0"/>
              <w:rPr>
                <w:rFonts w:ascii="Calibri" w:hAnsi="Calibri" w:cs="Arial"/>
                <w:snapToGrid/>
                <w:sz w:val="22"/>
                <w:szCs w:val="22"/>
              </w:rPr>
            </w:pPr>
          </w:p>
        </w:tc>
        <w:tc>
          <w:tcPr>
            <w:tcW w:w="7830" w:type="dxa"/>
            <w:gridSpan w:val="2"/>
          </w:tcPr>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r w:rsidRPr="000407B7">
              <w:rPr>
                <w:rFonts w:ascii="Calibri" w:hAnsi="Calibri" w:cs="Arial"/>
                <w:sz w:val="22"/>
                <w:szCs w:val="22"/>
              </w:rPr>
              <w:t>Bicalutamide is contraindicated in women and children; patients with known hypersensitivity to the active substance or any of the excipients; and patients taking terfenadine or astemizole.</w:t>
            </w:r>
          </w:p>
        </w:tc>
      </w:tr>
      <w:tr w:rsidR="000407B7" w:rsidRPr="000407B7" w:rsidTr="000407B7">
        <w:tc>
          <w:tcPr>
            <w:tcW w:w="1951" w:type="dxa"/>
          </w:tcPr>
          <w:p w:rsidR="000407B7" w:rsidRPr="000407B7" w:rsidRDefault="000407B7" w:rsidP="000407B7">
            <w:pPr>
              <w:pStyle w:val="mtrachead3"/>
              <w:keepNext w:val="0"/>
              <w:rPr>
                <w:rFonts w:ascii="Calibri" w:hAnsi="Calibri" w:cs="Arial"/>
                <w:snapToGrid/>
                <w:sz w:val="22"/>
                <w:szCs w:val="22"/>
              </w:rPr>
            </w:pPr>
            <w:r w:rsidRPr="000407B7">
              <w:rPr>
                <w:rFonts w:ascii="Calibri" w:hAnsi="Calibri" w:cs="Arial"/>
                <w:snapToGrid/>
                <w:sz w:val="22"/>
                <w:szCs w:val="22"/>
              </w:rPr>
              <w:t>Side Effects</w:t>
            </w:r>
          </w:p>
          <w:p w:rsidR="000407B7" w:rsidRPr="000407B7" w:rsidRDefault="000407B7" w:rsidP="000407B7">
            <w:pPr>
              <w:spacing w:after="0"/>
              <w:rPr>
                <w:rFonts w:ascii="Calibri" w:hAnsi="Calibri" w:cs="Arial"/>
                <w:b/>
                <w:szCs w:val="22"/>
              </w:rPr>
            </w:pPr>
          </w:p>
        </w:tc>
        <w:tc>
          <w:tcPr>
            <w:tcW w:w="7830" w:type="dxa"/>
            <w:gridSpan w:val="2"/>
          </w:tcPr>
          <w:p w:rsidR="000407B7" w:rsidRPr="000407B7" w:rsidRDefault="000407B7" w:rsidP="000407B7">
            <w:pPr>
              <w:tabs>
                <w:tab w:val="left" w:pos="-720"/>
                <w:tab w:val="right" w:pos="8505"/>
              </w:tabs>
              <w:suppressAutoHyphens/>
              <w:spacing w:after="0"/>
              <w:ind w:right="29"/>
              <w:jc w:val="both"/>
              <w:rPr>
                <w:rFonts w:ascii="Calibri" w:hAnsi="Calibri" w:cs="Arial"/>
                <w:szCs w:val="22"/>
              </w:rPr>
            </w:pPr>
            <w:r w:rsidRPr="000407B7">
              <w:rPr>
                <w:rFonts w:ascii="Calibri" w:hAnsi="Calibri" w:cs="Arial"/>
                <w:sz w:val="22"/>
                <w:szCs w:val="22"/>
              </w:rPr>
              <w:t>The most frequently reported adverse events with bicalutamide are gynaecomastia and breast pain.  Hepatic changes (elevated transaminase levels, cholestasis and jaundice) have been seen in patients taking bicalutamide (see Monitoring).  Refer to the SPC for a full list of adverse effects.</w:t>
            </w:r>
          </w:p>
        </w:tc>
      </w:tr>
      <w:tr w:rsidR="000407B7" w:rsidRPr="000407B7" w:rsidTr="000407B7">
        <w:tc>
          <w:tcPr>
            <w:tcW w:w="1951" w:type="dxa"/>
          </w:tcPr>
          <w:p w:rsidR="000407B7" w:rsidRPr="000407B7" w:rsidRDefault="000407B7" w:rsidP="000407B7">
            <w:pPr>
              <w:tabs>
                <w:tab w:val="right" w:pos="360"/>
                <w:tab w:val="left" w:pos="540"/>
              </w:tabs>
              <w:spacing w:after="0"/>
              <w:rPr>
                <w:rFonts w:ascii="Calibri" w:hAnsi="Calibri" w:cs="Arial"/>
                <w:b/>
                <w:snapToGrid w:val="0"/>
                <w:szCs w:val="22"/>
                <w:lang w:eastAsia="en-US"/>
              </w:rPr>
            </w:pPr>
            <w:r w:rsidRPr="000407B7">
              <w:rPr>
                <w:rFonts w:ascii="Calibri" w:hAnsi="Calibri" w:cs="Arial"/>
                <w:b/>
                <w:snapToGrid w:val="0"/>
                <w:sz w:val="22"/>
                <w:szCs w:val="22"/>
                <w:lang w:eastAsia="en-US"/>
              </w:rPr>
              <w:t>Monitoring</w:t>
            </w:r>
          </w:p>
          <w:p w:rsidR="000407B7" w:rsidRDefault="000407B7" w:rsidP="000407B7">
            <w:pPr>
              <w:pStyle w:val="mtrachead3"/>
              <w:keepNext w:val="0"/>
              <w:rPr>
                <w:rFonts w:ascii="Calibri" w:hAnsi="Calibri" w:cs="Arial"/>
                <w:snapToGrid/>
                <w:sz w:val="22"/>
                <w:szCs w:val="22"/>
              </w:rPr>
            </w:pPr>
          </w:p>
          <w:p w:rsidR="00EA745D" w:rsidRPr="00EA745D" w:rsidRDefault="00EA745D" w:rsidP="000407B7">
            <w:pPr>
              <w:pStyle w:val="mtrachead3"/>
              <w:keepNext w:val="0"/>
              <w:rPr>
                <w:rFonts w:ascii="Calibri" w:hAnsi="Calibri" w:cs="Arial"/>
                <w:snapToGrid/>
                <w:sz w:val="22"/>
                <w:szCs w:val="22"/>
              </w:rPr>
            </w:pPr>
            <w:r w:rsidRPr="00EA745D">
              <w:rPr>
                <w:rFonts w:ascii="Calibri" w:hAnsi="Calibri" w:cs="Arial"/>
                <w:color w:val="FF0000"/>
              </w:rPr>
              <w:t>Please refer to the transfer of care form for patients individualised care plan</w:t>
            </w:r>
          </w:p>
        </w:tc>
        <w:tc>
          <w:tcPr>
            <w:tcW w:w="7830" w:type="dxa"/>
            <w:gridSpan w:val="2"/>
          </w:tcPr>
          <w:p w:rsidR="000407B7" w:rsidRPr="000407B7" w:rsidRDefault="000407B7" w:rsidP="000407B7">
            <w:pPr>
              <w:pStyle w:val="NormalWeb"/>
              <w:shd w:val="clear" w:color="auto" w:fill="FFFFFF"/>
              <w:spacing w:before="0" w:beforeAutospacing="0" w:after="0"/>
              <w:rPr>
                <w:rFonts w:ascii="Calibri" w:hAnsi="Calibri"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4"/>
              <w:gridCol w:w="2295"/>
              <w:gridCol w:w="3605"/>
            </w:tblGrid>
            <w:tr w:rsidR="000407B7" w:rsidRPr="000407B7" w:rsidTr="00FF146C">
              <w:trPr>
                <w:trHeight w:val="240"/>
              </w:trPr>
              <w:tc>
                <w:tcPr>
                  <w:tcW w:w="2093" w:type="dxa"/>
                </w:tcPr>
                <w:p w:rsidR="000407B7" w:rsidRPr="000407B7" w:rsidRDefault="000407B7" w:rsidP="000407B7">
                  <w:pPr>
                    <w:pStyle w:val="Footer"/>
                    <w:tabs>
                      <w:tab w:val="clear" w:pos="4153"/>
                      <w:tab w:val="clear" w:pos="8306"/>
                    </w:tabs>
                    <w:jc w:val="center"/>
                    <w:rPr>
                      <w:rFonts w:ascii="Calibri" w:hAnsi="Calibri" w:cs="Arial"/>
                      <w:b/>
                      <w:szCs w:val="22"/>
                    </w:rPr>
                  </w:pPr>
                  <w:r w:rsidRPr="000407B7">
                    <w:rPr>
                      <w:rFonts w:ascii="Calibri" w:hAnsi="Calibri" w:cs="Arial"/>
                      <w:b/>
                      <w:sz w:val="22"/>
                      <w:szCs w:val="22"/>
                    </w:rPr>
                    <w:t>Parameter</w:t>
                  </w:r>
                </w:p>
              </w:tc>
              <w:tc>
                <w:tcPr>
                  <w:tcW w:w="2693" w:type="dxa"/>
                </w:tcPr>
                <w:p w:rsidR="000407B7" w:rsidRPr="000407B7" w:rsidRDefault="000407B7" w:rsidP="000407B7">
                  <w:pPr>
                    <w:pStyle w:val="Footer"/>
                    <w:tabs>
                      <w:tab w:val="clear" w:pos="4153"/>
                      <w:tab w:val="clear" w:pos="8306"/>
                    </w:tabs>
                    <w:jc w:val="center"/>
                    <w:rPr>
                      <w:rFonts w:ascii="Calibri" w:hAnsi="Calibri" w:cs="Arial"/>
                      <w:b/>
                      <w:szCs w:val="22"/>
                    </w:rPr>
                  </w:pPr>
                  <w:r w:rsidRPr="000407B7">
                    <w:rPr>
                      <w:rFonts w:ascii="Calibri" w:hAnsi="Calibri" w:cs="Arial"/>
                      <w:b/>
                      <w:sz w:val="22"/>
                      <w:szCs w:val="22"/>
                    </w:rPr>
                    <w:t>Frequency of monitoring</w:t>
                  </w:r>
                </w:p>
              </w:tc>
              <w:tc>
                <w:tcPr>
                  <w:tcW w:w="5245" w:type="dxa"/>
                </w:tcPr>
                <w:p w:rsidR="000407B7" w:rsidRPr="000407B7" w:rsidRDefault="000407B7" w:rsidP="000407B7">
                  <w:pPr>
                    <w:pStyle w:val="Footer"/>
                    <w:tabs>
                      <w:tab w:val="clear" w:pos="4153"/>
                      <w:tab w:val="clear" w:pos="8306"/>
                    </w:tabs>
                    <w:jc w:val="center"/>
                    <w:rPr>
                      <w:rFonts w:ascii="Calibri" w:hAnsi="Calibri" w:cs="Arial"/>
                      <w:b/>
                      <w:szCs w:val="22"/>
                    </w:rPr>
                  </w:pPr>
                  <w:r w:rsidRPr="000407B7">
                    <w:rPr>
                      <w:rFonts w:ascii="Calibri" w:hAnsi="Calibri" w:cs="Arial"/>
                      <w:b/>
                      <w:sz w:val="22"/>
                      <w:szCs w:val="22"/>
                    </w:rPr>
                    <w:t>Action</w:t>
                  </w:r>
                </w:p>
              </w:tc>
            </w:tr>
            <w:tr w:rsidR="000407B7" w:rsidRPr="000407B7" w:rsidTr="00FF146C">
              <w:trPr>
                <w:trHeight w:val="240"/>
              </w:trPr>
              <w:tc>
                <w:tcPr>
                  <w:tcW w:w="2093" w:type="dxa"/>
                </w:tcPr>
                <w:p w:rsidR="000407B7" w:rsidRPr="000407B7" w:rsidRDefault="000407B7" w:rsidP="000407B7">
                  <w:pPr>
                    <w:pStyle w:val="Footer"/>
                    <w:tabs>
                      <w:tab w:val="clear" w:pos="4153"/>
                      <w:tab w:val="clear" w:pos="8306"/>
                    </w:tabs>
                    <w:rPr>
                      <w:rFonts w:ascii="Calibri" w:hAnsi="Calibri" w:cs="Arial"/>
                      <w:szCs w:val="22"/>
                    </w:rPr>
                  </w:pPr>
                  <w:r w:rsidRPr="000407B7">
                    <w:rPr>
                      <w:rFonts w:ascii="Calibri" w:hAnsi="Calibri" w:cs="Arial"/>
                      <w:sz w:val="22"/>
                      <w:szCs w:val="22"/>
                    </w:rPr>
                    <w:t xml:space="preserve">Liver function test due to the possibility of hepatic changes.  </w:t>
                  </w:r>
                  <w:r w:rsidRPr="000407B7">
                    <w:rPr>
                      <w:rFonts w:ascii="Calibri" w:hAnsi="Calibri" w:cs="Arial"/>
                      <w:color w:val="000000"/>
                      <w:sz w:val="22"/>
                      <w:szCs w:val="22"/>
                    </w:rPr>
                    <w:t xml:space="preserve">(Most cases are expected to occur within the first 6 months of therapy </w:t>
                  </w:r>
                  <w:r w:rsidRPr="000407B7">
                    <w:rPr>
                      <w:rFonts w:ascii="Calibri" w:hAnsi="Calibri" w:cs="Arial"/>
                      <w:color w:val="000000"/>
                      <w:sz w:val="22"/>
                      <w:szCs w:val="22"/>
                    </w:rPr>
                    <w:sym w:font="Symbol" w:char="F02D"/>
                  </w:r>
                  <w:r w:rsidRPr="000407B7">
                    <w:rPr>
                      <w:rFonts w:ascii="Calibri" w:hAnsi="Calibri" w:cs="Arial"/>
                      <w:color w:val="000000"/>
                      <w:sz w:val="22"/>
                      <w:szCs w:val="22"/>
                    </w:rPr>
                    <w:t xml:space="preserve"> SPC)</w:t>
                  </w:r>
                </w:p>
              </w:tc>
              <w:tc>
                <w:tcPr>
                  <w:tcW w:w="2693" w:type="dxa"/>
                </w:tcPr>
                <w:p w:rsidR="000407B7" w:rsidRPr="000407B7" w:rsidRDefault="000407B7" w:rsidP="000407B7">
                  <w:pPr>
                    <w:pStyle w:val="Footer"/>
                    <w:tabs>
                      <w:tab w:val="clear" w:pos="4153"/>
                      <w:tab w:val="clear" w:pos="8306"/>
                    </w:tabs>
                    <w:rPr>
                      <w:rFonts w:ascii="Calibri" w:hAnsi="Calibri" w:cs="Arial"/>
                      <w:szCs w:val="22"/>
                    </w:rPr>
                  </w:pPr>
                  <w:r w:rsidRPr="000407B7">
                    <w:rPr>
                      <w:rFonts w:ascii="Calibri" w:hAnsi="Calibri" w:cs="Arial"/>
                      <w:sz w:val="22"/>
                      <w:szCs w:val="22"/>
                    </w:rPr>
                    <w:t>As indicated according to the individual patient's requirements, or as recommended by the specialist (can be measured at the same time as PSA levels)</w:t>
                  </w:r>
                </w:p>
              </w:tc>
              <w:tc>
                <w:tcPr>
                  <w:tcW w:w="5245" w:type="dxa"/>
                </w:tcPr>
                <w:p w:rsidR="000407B7" w:rsidRPr="000407B7" w:rsidRDefault="000407B7" w:rsidP="000407B7">
                  <w:pPr>
                    <w:pStyle w:val="Footer"/>
                    <w:tabs>
                      <w:tab w:val="clear" w:pos="4153"/>
                      <w:tab w:val="clear" w:pos="8306"/>
                    </w:tabs>
                    <w:rPr>
                      <w:rFonts w:ascii="Calibri" w:hAnsi="Calibri" w:cs="Arial"/>
                      <w:szCs w:val="22"/>
                    </w:rPr>
                  </w:pPr>
                  <w:r w:rsidRPr="000407B7">
                    <w:rPr>
                      <w:rFonts w:ascii="Calibri" w:hAnsi="Calibri" w:cs="Arial"/>
                      <w:sz w:val="22"/>
                      <w:szCs w:val="22"/>
                    </w:rPr>
                    <w:t>Depends on the profile of results.  It may be necessary to repeat test, monitor more frequently, or discontinue treatment.  Consult with specialist if uncertain about threshold for discontinuing treatment.</w:t>
                  </w:r>
                </w:p>
                <w:p w:rsidR="000407B7" w:rsidRPr="000407B7" w:rsidRDefault="000407B7" w:rsidP="000407B7">
                  <w:pPr>
                    <w:pStyle w:val="Footer"/>
                    <w:tabs>
                      <w:tab w:val="clear" w:pos="4153"/>
                      <w:tab w:val="clear" w:pos="8306"/>
                    </w:tabs>
                    <w:rPr>
                      <w:rFonts w:ascii="Calibri" w:hAnsi="Calibri" w:cs="Arial"/>
                      <w:szCs w:val="22"/>
                    </w:rPr>
                  </w:pPr>
                </w:p>
                <w:p w:rsidR="000407B7" w:rsidRPr="000407B7" w:rsidRDefault="000407B7" w:rsidP="000407B7">
                  <w:pPr>
                    <w:pStyle w:val="Footer"/>
                    <w:tabs>
                      <w:tab w:val="clear" w:pos="4153"/>
                      <w:tab w:val="clear" w:pos="8306"/>
                    </w:tabs>
                    <w:rPr>
                      <w:rFonts w:ascii="Calibri" w:hAnsi="Calibri" w:cs="Arial"/>
                      <w:i/>
                      <w:szCs w:val="22"/>
                    </w:rPr>
                  </w:pPr>
                  <w:r w:rsidRPr="000407B7">
                    <w:rPr>
                      <w:rFonts w:ascii="Calibri" w:hAnsi="Calibri" w:cs="Arial"/>
                      <w:i/>
                      <w:sz w:val="22"/>
                      <w:szCs w:val="22"/>
                    </w:rPr>
                    <w:t>(The SPC notes that changes seen with bicalutamide therapy were frequently transient, resolving or improving with continued therapy or following withdrawal of therapy.)</w:t>
                  </w:r>
                </w:p>
              </w:tc>
            </w:tr>
            <w:tr w:rsidR="000407B7" w:rsidRPr="000407B7" w:rsidTr="00FF146C">
              <w:trPr>
                <w:trHeight w:val="240"/>
              </w:trPr>
              <w:tc>
                <w:tcPr>
                  <w:tcW w:w="2093" w:type="dxa"/>
                </w:tcPr>
                <w:p w:rsidR="000407B7" w:rsidRPr="000407B7" w:rsidRDefault="000407B7" w:rsidP="000407B7">
                  <w:pPr>
                    <w:pStyle w:val="Footer"/>
                    <w:tabs>
                      <w:tab w:val="clear" w:pos="4153"/>
                      <w:tab w:val="clear" w:pos="8306"/>
                    </w:tabs>
                    <w:rPr>
                      <w:rFonts w:ascii="Calibri" w:hAnsi="Calibri" w:cs="Arial"/>
                      <w:szCs w:val="22"/>
                    </w:rPr>
                  </w:pPr>
                  <w:r w:rsidRPr="000407B7">
                    <w:rPr>
                      <w:rFonts w:ascii="Calibri" w:hAnsi="Calibri" w:cs="Arial"/>
                      <w:sz w:val="22"/>
                      <w:szCs w:val="22"/>
                    </w:rPr>
                    <w:t xml:space="preserve">Prostate Specific Antigen (PSA) </w:t>
                  </w:r>
                  <w:r w:rsidRPr="000407B7">
                    <w:rPr>
                      <w:rFonts w:ascii="Calibri" w:hAnsi="Calibri" w:cs="Arial"/>
                      <w:sz w:val="22"/>
                      <w:szCs w:val="22"/>
                    </w:rPr>
                    <w:lastRenderedPageBreak/>
                    <w:t>levels</w:t>
                  </w:r>
                </w:p>
              </w:tc>
              <w:tc>
                <w:tcPr>
                  <w:tcW w:w="2693" w:type="dxa"/>
                </w:tcPr>
                <w:p w:rsidR="000407B7" w:rsidRPr="000407B7" w:rsidRDefault="000407B7" w:rsidP="000407B7">
                  <w:pPr>
                    <w:pStyle w:val="Footer"/>
                    <w:tabs>
                      <w:tab w:val="clear" w:pos="4153"/>
                      <w:tab w:val="clear" w:pos="8306"/>
                    </w:tabs>
                    <w:rPr>
                      <w:rFonts w:ascii="Calibri" w:hAnsi="Calibri" w:cs="Arial"/>
                      <w:szCs w:val="22"/>
                    </w:rPr>
                  </w:pPr>
                  <w:r w:rsidRPr="000407B7">
                    <w:rPr>
                      <w:rFonts w:ascii="Calibri" w:hAnsi="Calibri" w:cs="Arial"/>
                      <w:sz w:val="22"/>
                      <w:szCs w:val="22"/>
                    </w:rPr>
                    <w:lastRenderedPageBreak/>
                    <w:t xml:space="preserve">According to specialist's </w:t>
                  </w:r>
                  <w:r w:rsidRPr="000407B7">
                    <w:rPr>
                      <w:rFonts w:ascii="Calibri" w:hAnsi="Calibri" w:cs="Arial"/>
                      <w:sz w:val="22"/>
                      <w:szCs w:val="22"/>
                    </w:rPr>
                    <w:lastRenderedPageBreak/>
                    <w:t>recommendation (can be measured at the same time as LFTs)</w:t>
                  </w:r>
                </w:p>
              </w:tc>
              <w:tc>
                <w:tcPr>
                  <w:tcW w:w="5245" w:type="dxa"/>
                </w:tcPr>
                <w:p w:rsidR="000407B7" w:rsidRPr="000407B7" w:rsidRDefault="000407B7" w:rsidP="000407B7">
                  <w:pPr>
                    <w:pStyle w:val="Footer"/>
                    <w:tabs>
                      <w:tab w:val="clear" w:pos="4153"/>
                      <w:tab w:val="clear" w:pos="8306"/>
                    </w:tabs>
                    <w:rPr>
                      <w:rFonts w:ascii="Calibri" w:hAnsi="Calibri" w:cs="Arial"/>
                      <w:szCs w:val="22"/>
                    </w:rPr>
                  </w:pPr>
                  <w:r w:rsidRPr="000407B7">
                    <w:rPr>
                      <w:rFonts w:ascii="Calibri" w:hAnsi="Calibri" w:cs="Arial"/>
                      <w:sz w:val="22"/>
                      <w:szCs w:val="22"/>
                    </w:rPr>
                    <w:lastRenderedPageBreak/>
                    <w:t xml:space="preserve">Consult with specialist.  High or increasing levels may indicate disease </w:t>
                  </w:r>
                  <w:r w:rsidRPr="000407B7">
                    <w:rPr>
                      <w:rFonts w:ascii="Calibri" w:hAnsi="Calibri" w:cs="Arial"/>
                      <w:sz w:val="22"/>
                      <w:szCs w:val="22"/>
                    </w:rPr>
                    <w:lastRenderedPageBreak/>
                    <w:t>progression, and the need to re-evaluate patient's treatment needs.</w:t>
                  </w:r>
                </w:p>
              </w:tc>
            </w:tr>
          </w:tbl>
          <w:p w:rsidR="000407B7" w:rsidRPr="000407B7" w:rsidRDefault="000407B7" w:rsidP="000407B7">
            <w:pPr>
              <w:pStyle w:val="NormalWeb"/>
              <w:shd w:val="clear" w:color="auto" w:fill="FFFFFF"/>
              <w:spacing w:before="0" w:beforeAutospacing="0" w:after="0"/>
              <w:rPr>
                <w:rFonts w:ascii="Calibri" w:hAnsi="Calibri" w:cs="Arial"/>
                <w:szCs w:val="22"/>
              </w:rPr>
            </w:pPr>
          </w:p>
          <w:p w:rsidR="000407B7" w:rsidRPr="000407B7" w:rsidRDefault="000407B7" w:rsidP="000407B7">
            <w:pPr>
              <w:pStyle w:val="NormalWeb"/>
              <w:shd w:val="clear" w:color="auto" w:fill="FFFFFF"/>
              <w:spacing w:before="0" w:beforeAutospacing="0" w:after="0" w:line="225" w:lineRule="atLeast"/>
              <w:rPr>
                <w:rFonts w:ascii="Calibri" w:hAnsi="Calibri" w:cs="Arial"/>
                <w:szCs w:val="22"/>
              </w:rPr>
            </w:pPr>
          </w:p>
        </w:tc>
      </w:tr>
      <w:tr w:rsidR="000407B7" w:rsidRPr="000407B7" w:rsidTr="000407B7">
        <w:tc>
          <w:tcPr>
            <w:tcW w:w="1951" w:type="dxa"/>
          </w:tcPr>
          <w:p w:rsidR="000407B7" w:rsidRPr="000407B7" w:rsidRDefault="000407B7" w:rsidP="000407B7">
            <w:pPr>
              <w:spacing w:after="0"/>
              <w:rPr>
                <w:rFonts w:ascii="Calibri" w:hAnsi="Calibri" w:cs="Arial"/>
                <w:b/>
                <w:szCs w:val="22"/>
              </w:rPr>
            </w:pPr>
            <w:r w:rsidRPr="000407B7">
              <w:rPr>
                <w:rFonts w:ascii="Calibri" w:hAnsi="Calibri" w:cs="Arial"/>
                <w:b/>
                <w:sz w:val="22"/>
                <w:szCs w:val="22"/>
              </w:rPr>
              <w:lastRenderedPageBreak/>
              <w:t>Drug Interactions</w:t>
            </w:r>
          </w:p>
          <w:p w:rsidR="000407B7" w:rsidRPr="000407B7" w:rsidRDefault="000407B7" w:rsidP="000407B7">
            <w:pPr>
              <w:tabs>
                <w:tab w:val="right" w:pos="360"/>
                <w:tab w:val="left" w:pos="540"/>
              </w:tabs>
              <w:spacing w:after="0"/>
              <w:rPr>
                <w:rFonts w:ascii="Calibri" w:hAnsi="Calibri" w:cs="Arial"/>
                <w:b/>
                <w:snapToGrid w:val="0"/>
                <w:szCs w:val="22"/>
                <w:lang w:eastAsia="en-US"/>
              </w:rPr>
            </w:pPr>
          </w:p>
        </w:tc>
        <w:tc>
          <w:tcPr>
            <w:tcW w:w="7830" w:type="dxa"/>
            <w:gridSpan w:val="2"/>
          </w:tcPr>
          <w:p w:rsidR="000407B7" w:rsidRPr="000407B7" w:rsidRDefault="000407B7" w:rsidP="000407B7">
            <w:pPr>
              <w:spacing w:after="0"/>
              <w:jc w:val="both"/>
              <w:rPr>
                <w:rFonts w:ascii="Calibri" w:hAnsi="Calibri" w:cs="Arial"/>
                <w:szCs w:val="22"/>
              </w:rPr>
            </w:pPr>
            <w:r w:rsidRPr="000407B7">
              <w:rPr>
                <w:rFonts w:ascii="Calibri" w:hAnsi="Calibri" w:cs="Arial"/>
                <w:i/>
                <w:sz w:val="22"/>
                <w:szCs w:val="22"/>
              </w:rPr>
              <w:t>In vitro</w:t>
            </w:r>
            <w:r w:rsidRPr="000407B7">
              <w:rPr>
                <w:rFonts w:ascii="Calibri" w:hAnsi="Calibri" w:cs="Arial"/>
                <w:sz w:val="22"/>
                <w:szCs w:val="22"/>
              </w:rPr>
              <w:t xml:space="preserve"> studies show that bicalutamide inhibits enzymes of the cytochrome P450 system, and may displace warfarin from plasma protein binding sites.  Concomitant use of other enzyme inhibitors e.g. cimetidine could theoretically increase plasma concentrations of bicalutamide with the potential for increased adverse effects.  In clinical practice drug interactions are not generally seen (expert opinion).  Caution is advised when drugs with a narrow therapeutic index are given with bicalutamide e.g. ciclosporin, where dosage reductions and monitoring of plasma levels may be necessary.</w:t>
            </w:r>
          </w:p>
        </w:tc>
      </w:tr>
    </w:tbl>
    <w:p w:rsidR="000407B7" w:rsidRPr="003B223A" w:rsidRDefault="000407B7" w:rsidP="000407B7">
      <w:pPr>
        <w:tabs>
          <w:tab w:val="left" w:pos="-720"/>
          <w:tab w:val="right" w:pos="9639"/>
        </w:tabs>
        <w:suppressAutoHyphens/>
        <w:spacing w:after="0"/>
        <w:ind w:right="29"/>
        <w:jc w:val="both"/>
        <w:rPr>
          <w:rFonts w:ascii="Calibri" w:hAnsi="Calibri" w:cs="Arial"/>
          <w:spacing w:val="-2"/>
          <w:sz w:val="10"/>
          <w:szCs w:val="10"/>
        </w:rPr>
      </w:pPr>
    </w:p>
    <w:p w:rsidR="000407B7" w:rsidRPr="003B223A" w:rsidRDefault="000407B7" w:rsidP="000407B7">
      <w:pPr>
        <w:pStyle w:val="mtrachead5"/>
        <w:numPr>
          <w:ilvl w:val="0"/>
          <w:numId w:val="0"/>
        </w:numPr>
        <w:rPr>
          <w:rFonts w:ascii="Calibri" w:hAnsi="Calibri" w:cs="Arial"/>
          <w:snapToGrid/>
          <w:sz w:val="18"/>
          <w:szCs w:val="18"/>
        </w:rPr>
      </w:pPr>
      <w:r w:rsidRPr="003B223A">
        <w:rPr>
          <w:rFonts w:ascii="Calibri" w:hAnsi="Calibri" w:cs="Arial"/>
          <w:snapToGrid/>
          <w:sz w:val="18"/>
          <w:szCs w:val="18"/>
        </w:rPr>
        <w:t>References</w:t>
      </w:r>
    </w:p>
    <w:p w:rsidR="000407B7" w:rsidRPr="003B223A" w:rsidRDefault="000407B7" w:rsidP="000407B7">
      <w:pPr>
        <w:spacing w:after="0"/>
        <w:jc w:val="both"/>
        <w:rPr>
          <w:rFonts w:ascii="Calibri" w:hAnsi="Calibri" w:cs="Arial"/>
          <w:sz w:val="18"/>
          <w:szCs w:val="18"/>
        </w:rPr>
      </w:pPr>
      <w:r w:rsidRPr="003B223A">
        <w:rPr>
          <w:rFonts w:ascii="Calibri" w:hAnsi="Calibri" w:cs="Arial"/>
          <w:sz w:val="18"/>
          <w:szCs w:val="18"/>
        </w:rPr>
        <w:t>MTRAC guidelines VS02/12 and SS02/12.</w:t>
      </w:r>
    </w:p>
    <w:p w:rsidR="000407B7" w:rsidRPr="003B223A" w:rsidRDefault="000407B7" w:rsidP="000407B7">
      <w:pPr>
        <w:spacing w:after="0"/>
        <w:jc w:val="both"/>
        <w:rPr>
          <w:rFonts w:ascii="Calibri" w:hAnsi="Calibri" w:cs="Arial"/>
          <w:sz w:val="18"/>
          <w:szCs w:val="18"/>
        </w:rPr>
      </w:pPr>
      <w:r w:rsidRPr="003B223A">
        <w:rPr>
          <w:rFonts w:ascii="Calibri" w:hAnsi="Calibri" w:cs="Arial"/>
          <w:sz w:val="18"/>
          <w:szCs w:val="18"/>
        </w:rPr>
        <w:t xml:space="preserve">Casodex. </w:t>
      </w:r>
      <w:r w:rsidRPr="003B223A">
        <w:rPr>
          <w:rFonts w:ascii="Calibri" w:hAnsi="Calibri" w:cs="Arial"/>
          <w:i/>
          <w:sz w:val="18"/>
          <w:szCs w:val="18"/>
        </w:rPr>
        <w:t>Summary of Product Characteristics</w:t>
      </w:r>
      <w:r w:rsidRPr="003B223A">
        <w:rPr>
          <w:rFonts w:ascii="Calibri" w:hAnsi="Calibri" w:cs="Arial"/>
          <w:sz w:val="18"/>
          <w:szCs w:val="18"/>
        </w:rPr>
        <w:t xml:space="preserve"> 2001.</w:t>
      </w:r>
    </w:p>
    <w:p w:rsidR="000407B7" w:rsidRDefault="000407B7">
      <w:pPr>
        <w:spacing w:line="276" w:lineRule="auto"/>
      </w:pPr>
      <w:r>
        <w:br w:type="page"/>
      </w:r>
    </w:p>
    <w:p w:rsidR="000407B7" w:rsidRPr="000407B7" w:rsidRDefault="000407B7" w:rsidP="000407B7">
      <w:pPr>
        <w:spacing w:after="0"/>
        <w:jc w:val="center"/>
        <w:rPr>
          <w:rFonts w:cstheme="minorHAnsi"/>
          <w:sz w:val="22"/>
          <w:szCs w:val="22"/>
        </w:rPr>
      </w:pPr>
      <w:r w:rsidRPr="000407B7">
        <w:rPr>
          <w:rFonts w:cstheme="minorHAnsi"/>
          <w:b/>
          <w:sz w:val="22"/>
          <w:szCs w:val="22"/>
        </w:rPr>
        <w:lastRenderedPageBreak/>
        <w:t>Cyproterone acetate</w:t>
      </w:r>
      <w:r w:rsidRPr="000407B7">
        <w:rPr>
          <w:rFonts w:cstheme="minorHAnsi"/>
          <w:b/>
          <w:snapToGrid w:val="0"/>
          <w:sz w:val="22"/>
          <w:szCs w:val="22"/>
          <w:lang w:eastAsia="en-US"/>
        </w:rPr>
        <w:t xml:space="preserve"> </w:t>
      </w:r>
      <w:r w:rsidRPr="000407B7">
        <w:rPr>
          <w:rFonts w:cstheme="minorHAnsi"/>
          <w:sz w:val="22"/>
          <w:szCs w:val="22"/>
        </w:rPr>
        <w:t>(Cyprostat®)</w:t>
      </w:r>
    </w:p>
    <w:p w:rsidR="000407B7" w:rsidRPr="000407B7" w:rsidRDefault="000407B7" w:rsidP="000407B7">
      <w:pPr>
        <w:spacing w:after="0"/>
        <w:rPr>
          <w:rFonts w:cstheme="minorHAnsi"/>
          <w:sz w:val="22"/>
          <w:szCs w:val="22"/>
          <w:u w:val="single"/>
          <w:shd w:val="pct5" w:color="auto" w:fill="auto"/>
        </w:rPr>
      </w:pPr>
      <w:r w:rsidRPr="000407B7">
        <w:rPr>
          <w:rFonts w:cstheme="minorHAnsi"/>
          <w:sz w:val="22"/>
          <w:szCs w:val="22"/>
          <w:u w:val="single"/>
        </w:rPr>
        <w:t>Prescribing Agreement: For the treatment of prostate cancer</w:t>
      </w:r>
    </w:p>
    <w:p w:rsidR="000407B7" w:rsidRPr="000407B7" w:rsidRDefault="000407B7" w:rsidP="000407B7">
      <w:pPr>
        <w:pStyle w:val="Heading4"/>
        <w:rPr>
          <w:rFonts w:asciiTheme="minorHAnsi" w:hAnsiTheme="minorHAnsi" w:cstheme="minorHAnsi"/>
          <w:sz w:val="22"/>
          <w:szCs w:val="22"/>
        </w:rPr>
      </w:pPr>
      <w:r w:rsidRPr="000407B7">
        <w:rPr>
          <w:rFonts w:asciiTheme="minorHAnsi" w:hAnsiTheme="minorHAnsi" w:cstheme="minorHAnsi"/>
          <w:sz w:val="22"/>
          <w:szCs w:val="22"/>
        </w:rPr>
        <w:t>RESPONSIBILITIES and ROLES</w:t>
      </w:r>
    </w:p>
    <w:p w:rsidR="000407B7" w:rsidRPr="00A16B79" w:rsidRDefault="000407B7" w:rsidP="000407B7">
      <w:pPr>
        <w:pStyle w:val="Footer"/>
        <w:tabs>
          <w:tab w:val="clear" w:pos="4153"/>
          <w:tab w:val="clear" w:pos="8306"/>
          <w:tab w:val="right" w:pos="360"/>
          <w:tab w:val="left" w:pos="540"/>
        </w:tabs>
        <w:jc w:val="both"/>
        <w:rPr>
          <w:rFonts w:asciiTheme="minorHAnsi" w:hAnsiTheme="minorHAnsi" w:cstheme="minorHAnsi"/>
          <w:snapToGrid w:val="0"/>
          <w:sz w:val="4"/>
          <w:szCs w:val="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0407B7" w:rsidRPr="000407B7" w:rsidTr="000407B7">
        <w:trPr>
          <w:trHeight w:val="240"/>
        </w:trPr>
        <w:tc>
          <w:tcPr>
            <w:tcW w:w="9923" w:type="dxa"/>
          </w:tcPr>
          <w:p w:rsidR="000407B7" w:rsidRPr="000407B7" w:rsidRDefault="000407B7" w:rsidP="000407B7">
            <w:pPr>
              <w:tabs>
                <w:tab w:val="left" w:pos="540"/>
              </w:tabs>
              <w:spacing w:after="0"/>
              <w:jc w:val="center"/>
              <w:rPr>
                <w:rFonts w:cstheme="minorHAnsi"/>
                <w:snapToGrid w:val="0"/>
                <w:szCs w:val="22"/>
                <w:lang w:eastAsia="en-US"/>
              </w:rPr>
            </w:pPr>
            <w:r w:rsidRPr="000407B7">
              <w:rPr>
                <w:rFonts w:cstheme="minorHAnsi"/>
                <w:b/>
                <w:snapToGrid w:val="0"/>
                <w:sz w:val="22"/>
                <w:szCs w:val="22"/>
                <w:lang w:eastAsia="en-US"/>
              </w:rPr>
              <w:t>Specialist responsibilities</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napToGrid w:val="0"/>
                <w:szCs w:val="22"/>
                <w:lang w:eastAsia="en-US"/>
              </w:rPr>
            </w:pPr>
            <w:r w:rsidRPr="000407B7">
              <w:rPr>
                <w:rFonts w:cstheme="minorHAnsi"/>
                <w:snapToGrid w:val="0"/>
                <w:sz w:val="22"/>
                <w:szCs w:val="22"/>
                <w:lang w:eastAsia="en-US"/>
              </w:rPr>
              <w:t>Confirm diagnosis.</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napToGrid w:val="0"/>
                <w:szCs w:val="22"/>
                <w:lang w:eastAsia="en-US"/>
              </w:rPr>
            </w:pPr>
            <w:r w:rsidRPr="000407B7">
              <w:rPr>
                <w:rFonts w:cstheme="minorHAnsi"/>
                <w:snapToGrid w:val="0"/>
                <w:sz w:val="22"/>
                <w:szCs w:val="22"/>
                <w:lang w:eastAsia="en-US"/>
              </w:rPr>
              <w:t>Discuss benefits and side effects of treatment with the patient including the risk of hepatotoxicity and the signs and symptoms to look out for and to report.</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napToGrid w:val="0"/>
                <w:szCs w:val="22"/>
                <w:lang w:eastAsia="en-US"/>
              </w:rPr>
            </w:pPr>
            <w:r w:rsidRPr="000407B7">
              <w:rPr>
                <w:rFonts w:cstheme="minorHAnsi"/>
                <w:snapToGrid w:val="0"/>
                <w:sz w:val="22"/>
                <w:szCs w:val="22"/>
              </w:rPr>
              <w:t>For patients with diabetes, advise on potential for cyproterone to affect carbohydrate metabolism, need for monitoring and action to take if blood glucose readings outside normal range.</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napToGrid w:val="0"/>
                <w:szCs w:val="22"/>
                <w:lang w:eastAsia="en-US"/>
              </w:rPr>
            </w:pPr>
            <w:r w:rsidRPr="000407B7">
              <w:rPr>
                <w:rFonts w:cstheme="minorHAnsi"/>
                <w:snapToGrid w:val="0"/>
                <w:sz w:val="22"/>
                <w:szCs w:val="22"/>
              </w:rPr>
              <w:t>Baseline liver function (LFTs), U&amp;E’s FBC and PSA levels.  Advise the GP on frequency of monitoring and what to do when LFTs or PSA levels rise. Advise on need for measurement of adrenal function</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napToGrid w:val="0"/>
                <w:szCs w:val="22"/>
                <w:lang w:eastAsia="en-US"/>
              </w:rPr>
            </w:pPr>
            <w:r w:rsidRPr="000407B7">
              <w:rPr>
                <w:rFonts w:cstheme="minorHAnsi"/>
                <w:snapToGrid w:val="0"/>
                <w:sz w:val="22"/>
                <w:szCs w:val="22"/>
              </w:rPr>
              <w:t xml:space="preserve">Initiate and supply </w:t>
            </w:r>
            <w:r w:rsidRPr="000407B7">
              <w:rPr>
                <w:rFonts w:cstheme="minorHAnsi"/>
                <w:sz w:val="22"/>
                <w:szCs w:val="22"/>
              </w:rPr>
              <w:t>cyproterone acetate (Cyprostat)</w:t>
            </w:r>
            <w:r w:rsidRPr="000407B7">
              <w:rPr>
                <w:rFonts w:cstheme="minorHAnsi"/>
                <w:snapToGrid w:val="0"/>
                <w:sz w:val="22"/>
                <w:szCs w:val="22"/>
              </w:rPr>
              <w:t xml:space="preserve"> until patient reaches stable dose (minimum 4 weeks of treatment) and ask the GP whether they are willing to participate in shared care</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napToGrid w:val="0"/>
                <w:szCs w:val="22"/>
                <w:lang w:eastAsia="en-US"/>
              </w:rPr>
            </w:pPr>
            <w:r w:rsidRPr="000407B7">
              <w:rPr>
                <w:rFonts w:cstheme="minorHAnsi"/>
                <w:snapToGrid w:val="0"/>
                <w:sz w:val="22"/>
                <w:szCs w:val="22"/>
                <w:lang w:eastAsia="en-US"/>
              </w:rPr>
              <w:t>Complete the “Transfer of Care” form and send to the patients GP. (see appendix 1)</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napToGrid w:val="0"/>
                <w:szCs w:val="22"/>
                <w:lang w:eastAsia="en-US"/>
              </w:rPr>
            </w:pPr>
            <w:r w:rsidRPr="000407B7">
              <w:rPr>
                <w:rFonts w:cstheme="minorHAnsi"/>
                <w:snapToGrid w:val="0"/>
                <w:sz w:val="22"/>
                <w:szCs w:val="22"/>
              </w:rPr>
              <w:t>Prompt communication (ie within 10 working days) with the GP of initial dose and any changes in treatment</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napToGrid w:val="0"/>
                <w:szCs w:val="22"/>
                <w:lang w:eastAsia="en-US"/>
              </w:rPr>
            </w:pPr>
            <w:r w:rsidRPr="000407B7">
              <w:rPr>
                <w:rFonts w:cstheme="minorHAnsi"/>
                <w:snapToGrid w:val="0"/>
                <w:sz w:val="22"/>
                <w:szCs w:val="22"/>
                <w:lang w:eastAsia="en-US"/>
              </w:rPr>
              <w:t>Monitor response to treatment.</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napToGrid w:val="0"/>
                <w:szCs w:val="22"/>
                <w:lang w:eastAsia="en-US"/>
              </w:rPr>
            </w:pPr>
            <w:r w:rsidRPr="000407B7">
              <w:rPr>
                <w:rFonts w:cstheme="minorHAnsi"/>
                <w:snapToGrid w:val="0"/>
                <w:sz w:val="22"/>
                <w:szCs w:val="22"/>
                <w:lang w:eastAsia="en-US"/>
              </w:rPr>
              <w:t>Stop treatment when indicated, or advise the GP on when to stop treatment.</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zCs w:val="22"/>
              </w:rPr>
            </w:pPr>
            <w:r w:rsidRPr="000407B7">
              <w:rPr>
                <w:rFonts w:cstheme="minorHAnsi"/>
                <w:snapToGrid w:val="0"/>
                <w:sz w:val="22"/>
                <w:szCs w:val="22"/>
                <w:lang w:eastAsia="en-US"/>
              </w:rPr>
              <w:t>Report adverse events to the CSM.</w:t>
            </w:r>
          </w:p>
        </w:tc>
      </w:tr>
      <w:tr w:rsidR="000407B7" w:rsidRPr="000407B7" w:rsidTr="000407B7">
        <w:trPr>
          <w:trHeight w:val="240"/>
        </w:trPr>
        <w:tc>
          <w:tcPr>
            <w:tcW w:w="9923" w:type="dxa"/>
          </w:tcPr>
          <w:p w:rsidR="000407B7" w:rsidRPr="000407B7" w:rsidRDefault="000407B7" w:rsidP="000407B7">
            <w:pPr>
              <w:numPr>
                <w:ilvl w:val="0"/>
                <w:numId w:val="20"/>
              </w:numPr>
              <w:tabs>
                <w:tab w:val="left" w:pos="459"/>
              </w:tabs>
              <w:spacing w:after="0"/>
              <w:ind w:left="459" w:hanging="459"/>
              <w:rPr>
                <w:rFonts w:cstheme="minorHAnsi"/>
                <w:szCs w:val="22"/>
              </w:rPr>
            </w:pPr>
            <w:r w:rsidRPr="000407B7">
              <w:rPr>
                <w:rFonts w:cstheme="minorHAnsi"/>
                <w:snapToGrid w:val="0"/>
                <w:sz w:val="22"/>
                <w:szCs w:val="22"/>
                <w:lang w:eastAsia="en-US"/>
              </w:rPr>
              <w:t>Ensure clear arrangements for back-up, advice, and support.</w:t>
            </w:r>
          </w:p>
        </w:tc>
      </w:tr>
    </w:tbl>
    <w:p w:rsidR="000407B7" w:rsidRPr="00A16B79" w:rsidRDefault="000407B7" w:rsidP="000407B7">
      <w:pPr>
        <w:pStyle w:val="mtrachead5"/>
        <w:numPr>
          <w:ilvl w:val="0"/>
          <w:numId w:val="0"/>
        </w:numPr>
        <w:tabs>
          <w:tab w:val="right" w:pos="360"/>
          <w:tab w:val="left" w:pos="540"/>
        </w:tabs>
        <w:rPr>
          <w:rFonts w:asciiTheme="minorHAnsi" w:hAnsiTheme="minorHAnsi" w:cstheme="minorHAnsi"/>
          <w:sz w:val="4"/>
          <w:szCs w:val="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A16B79" w:rsidRPr="00036882" w:rsidTr="00A16B79">
        <w:tc>
          <w:tcPr>
            <w:tcW w:w="9923" w:type="dxa"/>
          </w:tcPr>
          <w:p w:rsidR="00A16B79" w:rsidRPr="00036882" w:rsidRDefault="00A16B79" w:rsidP="00A81FD3">
            <w:pPr>
              <w:tabs>
                <w:tab w:val="left" w:pos="540"/>
              </w:tabs>
              <w:jc w:val="center"/>
              <w:rPr>
                <w:rFonts w:ascii="Calibri" w:hAnsi="Calibri" w:cs="Arial"/>
                <w:b/>
                <w:snapToGrid w:val="0"/>
                <w:szCs w:val="22"/>
                <w:lang w:eastAsia="en-US"/>
              </w:rPr>
            </w:pPr>
            <w:r w:rsidRPr="00036882">
              <w:rPr>
                <w:rFonts w:ascii="Calibri" w:hAnsi="Calibri" w:cs="Arial"/>
                <w:b/>
                <w:sz w:val="22"/>
                <w:szCs w:val="22"/>
              </w:rPr>
              <w:t>General Practitioner r</w:t>
            </w:r>
            <w:r w:rsidRPr="00036882">
              <w:rPr>
                <w:rFonts w:ascii="Calibri" w:hAnsi="Calibri" w:cs="Arial"/>
                <w:b/>
                <w:snapToGrid w:val="0"/>
                <w:sz w:val="22"/>
                <w:szCs w:val="22"/>
                <w:lang w:eastAsia="en-US"/>
              </w:rPr>
              <w:t>esponsibilities</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Reply to the request for shared care as soon as practicable</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If, clinically, the GP does not want to take on the ongoing care, please complete the declaration at the bottom of the “Transfer of Care” form and return to the requesting consultant as soon as possible.</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If accepting the patients care, please use the “Transfer of Care” form and individual management plan to support the patients care in primary care.</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Prescribe</w:t>
            </w:r>
            <w:r w:rsidRPr="00A16B79">
              <w:rPr>
                <w:rFonts w:ascii="Calibri" w:hAnsi="Calibri" w:cs="Arial"/>
                <w:sz w:val="22"/>
                <w:szCs w:val="22"/>
              </w:rPr>
              <w:t xml:space="preserve"> cyproterone acetate (Cyprostat) </w:t>
            </w:r>
            <w:r w:rsidRPr="00A16B79">
              <w:rPr>
                <w:rFonts w:ascii="Calibri" w:hAnsi="Calibri" w:cs="Arial"/>
                <w:snapToGrid w:val="0"/>
                <w:sz w:val="22"/>
                <w:szCs w:val="22"/>
                <w:lang w:eastAsia="en-US"/>
              </w:rPr>
              <w:t>at the dose recommended.</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Adjust the dose as advised by the specialist</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rPr>
              <w:t>Monitor liver function (LFTs), U&amp;E’s FBC every 6 months and PSA levels as agreed with specialist. Monitor adrenal function as advised by the specialist.</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rPr>
            </w:pPr>
            <w:r w:rsidRPr="00A16B79">
              <w:rPr>
                <w:rFonts w:ascii="Calibri" w:hAnsi="Calibri" w:cs="Arial"/>
                <w:snapToGrid w:val="0"/>
                <w:sz w:val="22"/>
                <w:szCs w:val="22"/>
              </w:rPr>
              <w:t>For patients with diabetes, provide support to manage blood glucose within recommended range.</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If the patient reports signs or symptoms of hepatotoxicity, (this implies a clinically meaningful change in the patient's status) measure LFTs promptly, and proceed according to these results.</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 xml:space="preserve">Seek specialist advice if LFTs rise, or if signs/symptoms of hepatic changes occur. </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Prompt referral to specialist when any clinical suspicion of loss of efficacy (disease progression) is noted, e.g. worsening of disease related symptoms, new symptoms suggestive of disease progression such as bone pain, or rising PSA levels.</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Report adverse events to specialist and CSM.</w:t>
            </w:r>
          </w:p>
        </w:tc>
      </w:tr>
      <w:tr w:rsidR="00A16B79" w:rsidRPr="00036882" w:rsidTr="00A16B79">
        <w:trPr>
          <w:trHeight w:val="240"/>
        </w:trPr>
        <w:tc>
          <w:tcPr>
            <w:tcW w:w="9923" w:type="dxa"/>
          </w:tcPr>
          <w:p w:rsidR="00A16B79" w:rsidRPr="00A16B79" w:rsidRDefault="00A16B79" w:rsidP="00A16B79">
            <w:pPr>
              <w:numPr>
                <w:ilvl w:val="0"/>
                <w:numId w:val="19"/>
              </w:numPr>
              <w:tabs>
                <w:tab w:val="left" w:pos="318"/>
              </w:tabs>
              <w:spacing w:after="0"/>
              <w:ind w:left="318" w:hanging="284"/>
              <w:rPr>
                <w:rFonts w:ascii="Calibri" w:hAnsi="Calibri" w:cs="Arial"/>
                <w:snapToGrid w:val="0"/>
                <w:szCs w:val="22"/>
                <w:lang w:eastAsia="en-US"/>
              </w:rPr>
            </w:pPr>
            <w:r w:rsidRPr="00A16B79">
              <w:rPr>
                <w:rFonts w:ascii="Calibri" w:hAnsi="Calibri" w:cs="Arial"/>
                <w:snapToGrid w:val="0"/>
                <w:sz w:val="22"/>
                <w:szCs w:val="22"/>
                <w:lang w:eastAsia="en-US"/>
              </w:rPr>
              <w:t>Stop treatment on advice of specialist, or immediately if intolerable side effects occur e.g. gynaecomastia, clinically significant hepatic changes.</w:t>
            </w:r>
          </w:p>
        </w:tc>
      </w:tr>
    </w:tbl>
    <w:p w:rsidR="00A16B79" w:rsidRPr="00A16B79" w:rsidRDefault="00A16B79" w:rsidP="000407B7">
      <w:pPr>
        <w:pStyle w:val="mtrachead3"/>
        <w:keepNext w:val="0"/>
        <w:jc w:val="both"/>
        <w:outlineLvl w:val="9"/>
        <w:rPr>
          <w:rFonts w:asciiTheme="minorHAnsi" w:hAnsiTheme="minorHAnsi" w:cstheme="minorHAnsi"/>
          <w:snapToGrid/>
          <w:sz w:val="4"/>
          <w:szCs w:val="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0407B7" w:rsidRPr="000407B7" w:rsidTr="000407B7">
        <w:tc>
          <w:tcPr>
            <w:tcW w:w="9923" w:type="dxa"/>
          </w:tcPr>
          <w:p w:rsidR="000407B7" w:rsidRPr="000407B7" w:rsidRDefault="000407B7" w:rsidP="000407B7">
            <w:pPr>
              <w:tabs>
                <w:tab w:val="left" w:pos="540"/>
              </w:tabs>
              <w:spacing w:after="0"/>
              <w:jc w:val="center"/>
              <w:rPr>
                <w:rFonts w:cstheme="minorHAnsi"/>
                <w:b/>
                <w:snapToGrid w:val="0"/>
                <w:szCs w:val="22"/>
                <w:lang w:eastAsia="en-US"/>
              </w:rPr>
            </w:pPr>
            <w:r w:rsidRPr="000407B7">
              <w:rPr>
                <w:rFonts w:cstheme="minorHAnsi"/>
                <w:b/>
                <w:sz w:val="22"/>
                <w:szCs w:val="22"/>
              </w:rPr>
              <w:t>Patient's r</w:t>
            </w:r>
            <w:r w:rsidRPr="000407B7">
              <w:rPr>
                <w:rFonts w:cstheme="minorHAnsi"/>
                <w:b/>
                <w:snapToGrid w:val="0"/>
                <w:sz w:val="22"/>
                <w:szCs w:val="22"/>
                <w:lang w:eastAsia="en-US"/>
              </w:rPr>
              <w:t>ole</w:t>
            </w:r>
          </w:p>
        </w:tc>
      </w:tr>
      <w:tr w:rsidR="000407B7" w:rsidRPr="000407B7" w:rsidTr="000407B7">
        <w:trPr>
          <w:trHeight w:val="240"/>
        </w:trPr>
        <w:tc>
          <w:tcPr>
            <w:tcW w:w="9923" w:type="dxa"/>
          </w:tcPr>
          <w:p w:rsidR="000407B7" w:rsidRPr="000407B7" w:rsidRDefault="000407B7" w:rsidP="000407B7">
            <w:pPr>
              <w:numPr>
                <w:ilvl w:val="0"/>
                <w:numId w:val="18"/>
              </w:numPr>
              <w:spacing w:after="0"/>
              <w:ind w:left="318" w:hanging="318"/>
              <w:jc w:val="both"/>
              <w:rPr>
                <w:rFonts w:cstheme="minorHAnsi"/>
                <w:szCs w:val="22"/>
              </w:rPr>
            </w:pPr>
            <w:r w:rsidRPr="000407B7">
              <w:rPr>
                <w:rFonts w:cstheme="minorHAnsi"/>
                <w:sz w:val="22"/>
                <w:szCs w:val="22"/>
              </w:rPr>
              <w:t>Patients should be advised of the signs and symptoms of hepatotoxicity, and instructed to report these to their GP should they occur.  However, because these signs and symptoms are non-specific, including malaise, persistent nausea, and vomiting, patients should be advised to report a change in their status that cannot be explained by another reason.</w:t>
            </w:r>
          </w:p>
        </w:tc>
      </w:tr>
      <w:tr w:rsidR="000407B7" w:rsidRPr="000407B7" w:rsidTr="000407B7">
        <w:trPr>
          <w:trHeight w:val="240"/>
        </w:trPr>
        <w:tc>
          <w:tcPr>
            <w:tcW w:w="9923" w:type="dxa"/>
          </w:tcPr>
          <w:p w:rsidR="000407B7" w:rsidRPr="000407B7" w:rsidRDefault="000407B7" w:rsidP="000407B7">
            <w:pPr>
              <w:numPr>
                <w:ilvl w:val="0"/>
                <w:numId w:val="18"/>
              </w:numPr>
              <w:spacing w:after="0"/>
              <w:ind w:left="318" w:hanging="318"/>
              <w:jc w:val="both"/>
              <w:rPr>
                <w:rFonts w:cstheme="minorHAnsi"/>
                <w:szCs w:val="22"/>
              </w:rPr>
            </w:pPr>
            <w:r w:rsidRPr="000407B7">
              <w:rPr>
                <w:rFonts w:cstheme="minorHAnsi"/>
                <w:sz w:val="22"/>
                <w:szCs w:val="22"/>
              </w:rPr>
              <w:t>Share any concerns they have in relation to treatment with cyproterone acetate</w:t>
            </w:r>
          </w:p>
        </w:tc>
      </w:tr>
      <w:tr w:rsidR="000407B7" w:rsidRPr="000407B7" w:rsidTr="000407B7">
        <w:trPr>
          <w:trHeight w:val="240"/>
        </w:trPr>
        <w:tc>
          <w:tcPr>
            <w:tcW w:w="9923" w:type="dxa"/>
          </w:tcPr>
          <w:p w:rsidR="000407B7" w:rsidRPr="000407B7" w:rsidRDefault="000407B7" w:rsidP="000407B7">
            <w:pPr>
              <w:numPr>
                <w:ilvl w:val="0"/>
                <w:numId w:val="18"/>
              </w:numPr>
              <w:spacing w:after="0"/>
              <w:ind w:left="318" w:hanging="318"/>
              <w:jc w:val="both"/>
              <w:rPr>
                <w:rFonts w:cstheme="minorHAnsi"/>
                <w:szCs w:val="22"/>
              </w:rPr>
            </w:pPr>
            <w:r w:rsidRPr="000407B7">
              <w:rPr>
                <w:rFonts w:cstheme="minorHAnsi"/>
                <w:sz w:val="22"/>
                <w:szCs w:val="22"/>
              </w:rPr>
              <w:lastRenderedPageBreak/>
              <w:t>Report to the specialist or GP if they do not have a clear understanding of their treatment.</w:t>
            </w:r>
          </w:p>
        </w:tc>
      </w:tr>
    </w:tbl>
    <w:p w:rsidR="000407B7" w:rsidRPr="000407B7" w:rsidRDefault="000407B7" w:rsidP="000407B7">
      <w:pPr>
        <w:pStyle w:val="mtrachead3"/>
        <w:jc w:val="both"/>
        <w:rPr>
          <w:rFonts w:asciiTheme="minorHAnsi" w:hAnsiTheme="minorHAnsi" w:cstheme="minorHAnsi"/>
          <w:snapToGrid/>
          <w:sz w:val="22"/>
          <w:szCs w:val="22"/>
        </w:rPr>
      </w:pPr>
      <w:r w:rsidRPr="000407B7">
        <w:rPr>
          <w:rFonts w:asciiTheme="minorHAnsi" w:hAnsiTheme="minorHAnsi" w:cstheme="minorHAnsi"/>
          <w:snapToGrid/>
          <w:sz w:val="22"/>
          <w:szCs w:val="22"/>
        </w:rPr>
        <w:t>BACK-UP ADVICE AND SUPPORT</w:t>
      </w:r>
    </w:p>
    <w:tbl>
      <w:tblPr>
        <w:tblW w:w="992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5"/>
        <w:gridCol w:w="1842"/>
        <w:gridCol w:w="993"/>
        <w:gridCol w:w="1559"/>
        <w:gridCol w:w="1984"/>
      </w:tblGrid>
      <w:tr w:rsidR="000407B7" w:rsidRPr="000407B7" w:rsidTr="000407B7">
        <w:trPr>
          <w:cantSplit/>
        </w:trPr>
        <w:tc>
          <w:tcPr>
            <w:tcW w:w="3545" w:type="dxa"/>
          </w:tcPr>
          <w:p w:rsidR="000407B7" w:rsidRPr="000407B7" w:rsidRDefault="000407B7" w:rsidP="000407B7">
            <w:pPr>
              <w:spacing w:after="0"/>
              <w:jc w:val="both"/>
              <w:rPr>
                <w:rFonts w:cstheme="minorHAnsi"/>
                <w:szCs w:val="22"/>
              </w:rPr>
            </w:pPr>
            <w:r w:rsidRPr="000407B7">
              <w:rPr>
                <w:rFonts w:cstheme="minorHAnsi"/>
                <w:sz w:val="22"/>
                <w:szCs w:val="22"/>
              </w:rPr>
              <w:t>Contact details</w:t>
            </w:r>
          </w:p>
        </w:tc>
        <w:tc>
          <w:tcPr>
            <w:tcW w:w="1842" w:type="dxa"/>
          </w:tcPr>
          <w:p w:rsidR="000407B7" w:rsidRPr="000407B7" w:rsidRDefault="000407B7" w:rsidP="000407B7">
            <w:pPr>
              <w:spacing w:after="0"/>
              <w:jc w:val="both"/>
              <w:rPr>
                <w:rFonts w:cstheme="minorHAnsi"/>
                <w:szCs w:val="22"/>
              </w:rPr>
            </w:pPr>
            <w:r w:rsidRPr="000407B7">
              <w:rPr>
                <w:rFonts w:cstheme="minorHAnsi"/>
                <w:sz w:val="22"/>
                <w:szCs w:val="22"/>
              </w:rPr>
              <w:t>Telephone No.</w:t>
            </w:r>
          </w:p>
        </w:tc>
        <w:tc>
          <w:tcPr>
            <w:tcW w:w="993" w:type="dxa"/>
          </w:tcPr>
          <w:p w:rsidR="000407B7" w:rsidRPr="000407B7" w:rsidRDefault="000407B7" w:rsidP="000407B7">
            <w:pPr>
              <w:spacing w:after="0"/>
              <w:jc w:val="both"/>
              <w:rPr>
                <w:rFonts w:cstheme="minorHAnsi"/>
                <w:szCs w:val="22"/>
              </w:rPr>
            </w:pPr>
            <w:r w:rsidRPr="000407B7">
              <w:rPr>
                <w:rFonts w:cstheme="minorHAnsi"/>
                <w:sz w:val="22"/>
                <w:szCs w:val="22"/>
              </w:rPr>
              <w:t>Bleep:</w:t>
            </w:r>
          </w:p>
        </w:tc>
        <w:tc>
          <w:tcPr>
            <w:tcW w:w="1559" w:type="dxa"/>
          </w:tcPr>
          <w:p w:rsidR="000407B7" w:rsidRPr="000407B7" w:rsidRDefault="000407B7" w:rsidP="000407B7">
            <w:pPr>
              <w:spacing w:after="0"/>
              <w:jc w:val="both"/>
              <w:rPr>
                <w:rFonts w:cstheme="minorHAnsi"/>
                <w:szCs w:val="22"/>
              </w:rPr>
            </w:pPr>
            <w:r w:rsidRPr="000407B7">
              <w:rPr>
                <w:rFonts w:cstheme="minorHAnsi"/>
                <w:sz w:val="22"/>
                <w:szCs w:val="22"/>
              </w:rPr>
              <w:t>Fax:</w:t>
            </w:r>
          </w:p>
        </w:tc>
        <w:tc>
          <w:tcPr>
            <w:tcW w:w="1984" w:type="dxa"/>
          </w:tcPr>
          <w:p w:rsidR="000407B7" w:rsidRPr="000407B7" w:rsidRDefault="000407B7" w:rsidP="000407B7">
            <w:pPr>
              <w:spacing w:after="0"/>
              <w:jc w:val="both"/>
              <w:rPr>
                <w:rFonts w:cstheme="minorHAnsi"/>
                <w:szCs w:val="22"/>
              </w:rPr>
            </w:pPr>
            <w:r w:rsidRPr="000407B7">
              <w:rPr>
                <w:rFonts w:cstheme="minorHAnsi"/>
                <w:sz w:val="22"/>
                <w:szCs w:val="22"/>
              </w:rPr>
              <w:t>Email address:</w:t>
            </w:r>
          </w:p>
        </w:tc>
      </w:tr>
      <w:tr w:rsidR="000407B7" w:rsidRPr="000407B7" w:rsidTr="000407B7">
        <w:trPr>
          <w:cantSplit/>
        </w:trPr>
        <w:tc>
          <w:tcPr>
            <w:tcW w:w="3545" w:type="dxa"/>
          </w:tcPr>
          <w:p w:rsidR="000407B7" w:rsidRPr="000407B7" w:rsidRDefault="000407B7" w:rsidP="000407B7">
            <w:pPr>
              <w:pStyle w:val="mtrachead3"/>
              <w:keepNext w:val="0"/>
              <w:jc w:val="both"/>
              <w:rPr>
                <w:rFonts w:asciiTheme="minorHAnsi" w:hAnsiTheme="minorHAnsi" w:cstheme="minorHAnsi"/>
                <w:snapToGrid/>
                <w:sz w:val="22"/>
                <w:szCs w:val="22"/>
              </w:rPr>
            </w:pPr>
            <w:r w:rsidRPr="000407B7">
              <w:rPr>
                <w:rFonts w:asciiTheme="minorHAnsi" w:hAnsiTheme="minorHAnsi" w:cstheme="minorHAnsi"/>
                <w:snapToGrid/>
                <w:sz w:val="22"/>
                <w:szCs w:val="22"/>
              </w:rPr>
              <w:t>Specialist:</w:t>
            </w:r>
          </w:p>
        </w:tc>
        <w:tc>
          <w:tcPr>
            <w:tcW w:w="1842" w:type="dxa"/>
          </w:tcPr>
          <w:p w:rsidR="000407B7" w:rsidRPr="000407B7" w:rsidRDefault="000407B7" w:rsidP="000407B7">
            <w:pPr>
              <w:spacing w:after="0"/>
              <w:jc w:val="both"/>
              <w:rPr>
                <w:rFonts w:cstheme="minorHAnsi"/>
                <w:szCs w:val="22"/>
              </w:rPr>
            </w:pPr>
          </w:p>
        </w:tc>
        <w:tc>
          <w:tcPr>
            <w:tcW w:w="993" w:type="dxa"/>
          </w:tcPr>
          <w:p w:rsidR="000407B7" w:rsidRPr="000407B7" w:rsidRDefault="000407B7" w:rsidP="000407B7">
            <w:pPr>
              <w:spacing w:after="0"/>
              <w:jc w:val="both"/>
              <w:rPr>
                <w:rFonts w:cstheme="minorHAnsi"/>
                <w:szCs w:val="22"/>
              </w:rPr>
            </w:pPr>
          </w:p>
        </w:tc>
        <w:tc>
          <w:tcPr>
            <w:tcW w:w="1559" w:type="dxa"/>
          </w:tcPr>
          <w:p w:rsidR="000407B7" w:rsidRPr="000407B7" w:rsidRDefault="000407B7" w:rsidP="000407B7">
            <w:pPr>
              <w:spacing w:after="0"/>
              <w:jc w:val="both"/>
              <w:rPr>
                <w:rFonts w:cstheme="minorHAnsi"/>
                <w:szCs w:val="22"/>
              </w:rPr>
            </w:pPr>
          </w:p>
        </w:tc>
        <w:tc>
          <w:tcPr>
            <w:tcW w:w="1984" w:type="dxa"/>
          </w:tcPr>
          <w:p w:rsidR="000407B7" w:rsidRPr="000407B7" w:rsidRDefault="000407B7" w:rsidP="000407B7">
            <w:pPr>
              <w:spacing w:after="0"/>
              <w:jc w:val="both"/>
              <w:rPr>
                <w:rFonts w:cstheme="minorHAnsi"/>
                <w:szCs w:val="22"/>
              </w:rPr>
            </w:pPr>
          </w:p>
        </w:tc>
      </w:tr>
      <w:tr w:rsidR="000407B7" w:rsidRPr="000407B7" w:rsidTr="000407B7">
        <w:trPr>
          <w:cantSplit/>
        </w:trPr>
        <w:tc>
          <w:tcPr>
            <w:tcW w:w="3545" w:type="dxa"/>
          </w:tcPr>
          <w:p w:rsidR="000407B7" w:rsidRPr="000407B7" w:rsidRDefault="000407B7" w:rsidP="000407B7">
            <w:pPr>
              <w:spacing w:after="0"/>
              <w:jc w:val="both"/>
              <w:rPr>
                <w:rFonts w:cstheme="minorHAnsi"/>
                <w:b/>
                <w:szCs w:val="22"/>
              </w:rPr>
            </w:pPr>
            <w:r w:rsidRPr="000407B7">
              <w:rPr>
                <w:rFonts w:cstheme="minorHAnsi"/>
                <w:b/>
                <w:sz w:val="22"/>
                <w:szCs w:val="22"/>
              </w:rPr>
              <w:t>Hospital Pharmacy Dept</w:t>
            </w:r>
          </w:p>
        </w:tc>
        <w:tc>
          <w:tcPr>
            <w:tcW w:w="1842" w:type="dxa"/>
          </w:tcPr>
          <w:p w:rsidR="000407B7" w:rsidRPr="000407B7" w:rsidRDefault="000407B7" w:rsidP="000407B7">
            <w:pPr>
              <w:spacing w:after="0"/>
              <w:jc w:val="both"/>
              <w:rPr>
                <w:rFonts w:cstheme="minorHAnsi"/>
                <w:szCs w:val="22"/>
              </w:rPr>
            </w:pPr>
          </w:p>
        </w:tc>
        <w:tc>
          <w:tcPr>
            <w:tcW w:w="993" w:type="dxa"/>
          </w:tcPr>
          <w:p w:rsidR="000407B7" w:rsidRPr="000407B7" w:rsidRDefault="000407B7" w:rsidP="000407B7">
            <w:pPr>
              <w:spacing w:after="0"/>
              <w:jc w:val="both"/>
              <w:rPr>
                <w:rFonts w:cstheme="minorHAnsi"/>
                <w:szCs w:val="22"/>
              </w:rPr>
            </w:pPr>
          </w:p>
        </w:tc>
        <w:tc>
          <w:tcPr>
            <w:tcW w:w="1559" w:type="dxa"/>
          </w:tcPr>
          <w:p w:rsidR="000407B7" w:rsidRPr="000407B7" w:rsidRDefault="000407B7" w:rsidP="000407B7">
            <w:pPr>
              <w:spacing w:after="0"/>
              <w:jc w:val="both"/>
              <w:rPr>
                <w:rFonts w:cstheme="minorHAnsi"/>
                <w:szCs w:val="22"/>
              </w:rPr>
            </w:pPr>
          </w:p>
        </w:tc>
        <w:tc>
          <w:tcPr>
            <w:tcW w:w="1984" w:type="dxa"/>
          </w:tcPr>
          <w:p w:rsidR="000407B7" w:rsidRPr="000407B7" w:rsidRDefault="000407B7" w:rsidP="000407B7">
            <w:pPr>
              <w:spacing w:after="0"/>
              <w:jc w:val="both"/>
              <w:rPr>
                <w:rFonts w:cstheme="minorHAnsi"/>
                <w:szCs w:val="22"/>
              </w:rPr>
            </w:pPr>
          </w:p>
        </w:tc>
      </w:tr>
      <w:tr w:rsidR="000407B7" w:rsidRPr="000407B7" w:rsidTr="000407B7">
        <w:trPr>
          <w:cantSplit/>
        </w:trPr>
        <w:tc>
          <w:tcPr>
            <w:tcW w:w="3545" w:type="dxa"/>
          </w:tcPr>
          <w:p w:rsidR="000407B7" w:rsidRPr="000407B7" w:rsidRDefault="000407B7" w:rsidP="000407B7">
            <w:pPr>
              <w:spacing w:after="0"/>
              <w:jc w:val="both"/>
              <w:rPr>
                <w:rFonts w:cstheme="minorHAnsi"/>
                <w:b/>
                <w:szCs w:val="22"/>
              </w:rPr>
            </w:pPr>
            <w:r w:rsidRPr="000407B7">
              <w:rPr>
                <w:rFonts w:cstheme="minorHAnsi"/>
                <w:b/>
                <w:sz w:val="22"/>
                <w:szCs w:val="22"/>
              </w:rPr>
              <w:t>Other:</w:t>
            </w:r>
          </w:p>
        </w:tc>
        <w:tc>
          <w:tcPr>
            <w:tcW w:w="1842" w:type="dxa"/>
          </w:tcPr>
          <w:p w:rsidR="000407B7" w:rsidRPr="000407B7" w:rsidRDefault="000407B7" w:rsidP="000407B7">
            <w:pPr>
              <w:spacing w:after="0"/>
              <w:jc w:val="both"/>
              <w:rPr>
                <w:rFonts w:cstheme="minorHAnsi"/>
                <w:szCs w:val="22"/>
              </w:rPr>
            </w:pPr>
          </w:p>
        </w:tc>
        <w:tc>
          <w:tcPr>
            <w:tcW w:w="993" w:type="dxa"/>
          </w:tcPr>
          <w:p w:rsidR="000407B7" w:rsidRPr="000407B7" w:rsidRDefault="000407B7" w:rsidP="000407B7">
            <w:pPr>
              <w:spacing w:after="0"/>
              <w:jc w:val="both"/>
              <w:rPr>
                <w:rFonts w:cstheme="minorHAnsi"/>
                <w:szCs w:val="22"/>
              </w:rPr>
            </w:pPr>
          </w:p>
        </w:tc>
        <w:tc>
          <w:tcPr>
            <w:tcW w:w="1559" w:type="dxa"/>
          </w:tcPr>
          <w:p w:rsidR="000407B7" w:rsidRPr="000407B7" w:rsidRDefault="000407B7" w:rsidP="000407B7">
            <w:pPr>
              <w:spacing w:after="0"/>
              <w:jc w:val="both"/>
              <w:rPr>
                <w:rFonts w:cstheme="minorHAnsi"/>
                <w:szCs w:val="22"/>
              </w:rPr>
            </w:pPr>
          </w:p>
        </w:tc>
        <w:tc>
          <w:tcPr>
            <w:tcW w:w="1984" w:type="dxa"/>
          </w:tcPr>
          <w:p w:rsidR="000407B7" w:rsidRPr="000407B7" w:rsidRDefault="000407B7" w:rsidP="000407B7">
            <w:pPr>
              <w:spacing w:after="0"/>
              <w:jc w:val="both"/>
              <w:rPr>
                <w:rFonts w:cstheme="minorHAnsi"/>
                <w:szCs w:val="22"/>
              </w:rPr>
            </w:pPr>
          </w:p>
        </w:tc>
      </w:tr>
    </w:tbl>
    <w:p w:rsidR="000407B7" w:rsidRPr="000407B7" w:rsidRDefault="000407B7" w:rsidP="000407B7">
      <w:pPr>
        <w:spacing w:after="0"/>
        <w:rPr>
          <w:rFonts w:cstheme="minorHAnsi"/>
          <w:sz w:val="22"/>
          <w:szCs w:val="22"/>
        </w:rPr>
      </w:pPr>
    </w:p>
    <w:p w:rsidR="000407B7" w:rsidRDefault="000407B7">
      <w:pPr>
        <w:spacing w:line="276" w:lineRule="auto"/>
        <w:rPr>
          <w:rFonts w:cstheme="minorHAnsi"/>
          <w:b/>
          <w:sz w:val="22"/>
          <w:szCs w:val="22"/>
        </w:rPr>
      </w:pPr>
      <w:r>
        <w:rPr>
          <w:rFonts w:cstheme="minorHAnsi"/>
          <w:b/>
          <w:sz w:val="22"/>
          <w:szCs w:val="22"/>
        </w:rPr>
        <w:br w:type="page"/>
      </w:r>
    </w:p>
    <w:p w:rsidR="000407B7" w:rsidRPr="000407B7" w:rsidRDefault="000407B7" w:rsidP="000407B7">
      <w:pPr>
        <w:spacing w:after="0"/>
        <w:jc w:val="both"/>
        <w:rPr>
          <w:rFonts w:cstheme="minorHAnsi"/>
          <w:b/>
          <w:sz w:val="22"/>
          <w:szCs w:val="22"/>
        </w:rPr>
      </w:pPr>
      <w:r w:rsidRPr="000407B7">
        <w:rPr>
          <w:rFonts w:cstheme="minorHAnsi"/>
          <w:b/>
          <w:sz w:val="22"/>
          <w:szCs w:val="22"/>
        </w:rPr>
        <w:lastRenderedPageBreak/>
        <w:t xml:space="preserve">SUPPORTING INFORMATION </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425"/>
        <w:gridCol w:w="4269"/>
        <w:gridCol w:w="3386"/>
      </w:tblGrid>
      <w:tr w:rsidR="000407B7" w:rsidRPr="000407B7" w:rsidTr="000407B7">
        <w:tc>
          <w:tcPr>
            <w:tcW w:w="1843" w:type="dxa"/>
          </w:tcPr>
          <w:p w:rsidR="000407B7" w:rsidRPr="000407B7" w:rsidRDefault="000407B7" w:rsidP="000407B7">
            <w:pPr>
              <w:spacing w:after="0"/>
              <w:rPr>
                <w:rFonts w:cstheme="minorHAnsi"/>
                <w:szCs w:val="22"/>
              </w:rPr>
            </w:pPr>
          </w:p>
        </w:tc>
        <w:tc>
          <w:tcPr>
            <w:tcW w:w="4694" w:type="dxa"/>
            <w:gridSpan w:val="2"/>
          </w:tcPr>
          <w:p w:rsidR="000407B7" w:rsidRPr="000407B7" w:rsidRDefault="000407B7" w:rsidP="000407B7">
            <w:pPr>
              <w:spacing w:after="0"/>
              <w:jc w:val="center"/>
              <w:rPr>
                <w:rFonts w:cstheme="minorHAnsi"/>
                <w:szCs w:val="22"/>
              </w:rPr>
            </w:pPr>
            <w:r w:rsidRPr="000407B7">
              <w:rPr>
                <w:rFonts w:cstheme="minorHAnsi"/>
                <w:color w:val="000000"/>
                <w:sz w:val="22"/>
                <w:szCs w:val="22"/>
                <w:shd w:val="clear" w:color="auto" w:fill="FFFFFF"/>
              </w:rPr>
              <w:t>Cyproterone Acetate 50mg (Cyprostat</w:t>
            </w:r>
            <w:r w:rsidRPr="000407B7">
              <w:rPr>
                <w:rFonts w:cstheme="minorHAnsi"/>
                <w:bCs/>
                <w:color w:val="000000"/>
                <w:sz w:val="22"/>
                <w:szCs w:val="22"/>
                <w:shd w:val="clear" w:color="auto" w:fill="FFFFFF"/>
              </w:rPr>
              <w:t>®)</w:t>
            </w:r>
          </w:p>
        </w:tc>
        <w:tc>
          <w:tcPr>
            <w:tcW w:w="3386" w:type="dxa"/>
          </w:tcPr>
          <w:p w:rsidR="000407B7" w:rsidRPr="000407B7" w:rsidRDefault="000407B7" w:rsidP="000407B7">
            <w:pPr>
              <w:spacing w:after="0"/>
              <w:jc w:val="center"/>
              <w:rPr>
                <w:rFonts w:cstheme="minorHAnsi"/>
                <w:szCs w:val="22"/>
              </w:rPr>
            </w:pPr>
            <w:r w:rsidRPr="000407B7">
              <w:rPr>
                <w:rFonts w:cstheme="minorHAnsi"/>
                <w:color w:val="000000"/>
                <w:sz w:val="22"/>
                <w:szCs w:val="22"/>
                <w:shd w:val="clear" w:color="auto" w:fill="FFFFFF"/>
              </w:rPr>
              <w:t>Cyproterone Acetate 100mg (Cyprostat</w:t>
            </w:r>
            <w:r w:rsidRPr="000407B7">
              <w:rPr>
                <w:rFonts w:cstheme="minorHAnsi"/>
                <w:bCs/>
                <w:color w:val="000000"/>
                <w:sz w:val="22"/>
                <w:szCs w:val="22"/>
                <w:shd w:val="clear" w:color="auto" w:fill="FFFFFF"/>
              </w:rPr>
              <w:t>®)</w:t>
            </w:r>
          </w:p>
        </w:tc>
      </w:tr>
      <w:tr w:rsidR="000407B7" w:rsidRPr="000407B7" w:rsidTr="000407B7">
        <w:tc>
          <w:tcPr>
            <w:tcW w:w="1843" w:type="dxa"/>
          </w:tcPr>
          <w:p w:rsidR="000407B7" w:rsidRPr="000407B7" w:rsidRDefault="000407B7" w:rsidP="000407B7">
            <w:pPr>
              <w:spacing w:after="0"/>
              <w:rPr>
                <w:rFonts w:cstheme="minorHAnsi"/>
                <w:b/>
                <w:szCs w:val="22"/>
              </w:rPr>
            </w:pPr>
            <w:r w:rsidRPr="000407B7">
              <w:rPr>
                <w:rFonts w:cstheme="minorHAnsi"/>
                <w:b/>
                <w:sz w:val="22"/>
                <w:szCs w:val="22"/>
              </w:rPr>
              <w:t>Licensed indications</w:t>
            </w:r>
          </w:p>
          <w:p w:rsidR="000407B7" w:rsidRPr="000407B7" w:rsidRDefault="000407B7" w:rsidP="000407B7">
            <w:pPr>
              <w:spacing w:after="0"/>
              <w:rPr>
                <w:rFonts w:cstheme="minorHAnsi"/>
                <w:i/>
                <w:szCs w:val="22"/>
              </w:rPr>
            </w:pPr>
          </w:p>
        </w:tc>
        <w:tc>
          <w:tcPr>
            <w:tcW w:w="8080" w:type="dxa"/>
            <w:gridSpan w:val="3"/>
          </w:tcPr>
          <w:p w:rsidR="000407B7" w:rsidRPr="000407B7" w:rsidRDefault="000407B7" w:rsidP="000407B7">
            <w:pPr>
              <w:spacing w:after="0"/>
              <w:jc w:val="both"/>
              <w:rPr>
                <w:rFonts w:cstheme="minorHAnsi"/>
                <w:color w:val="000000"/>
                <w:szCs w:val="22"/>
                <w:shd w:val="clear" w:color="auto" w:fill="FFFFFF"/>
              </w:rPr>
            </w:pPr>
            <w:r w:rsidRPr="000407B7">
              <w:rPr>
                <w:rFonts w:cstheme="minorHAnsi"/>
                <w:color w:val="000000"/>
                <w:sz w:val="22"/>
                <w:szCs w:val="22"/>
                <w:shd w:val="clear" w:color="auto" w:fill="FFFFFF"/>
              </w:rPr>
              <w:t xml:space="preserve">Management of patients with prostatic cancer </w:t>
            </w:r>
          </w:p>
          <w:p w:rsidR="000407B7" w:rsidRPr="000407B7" w:rsidRDefault="000407B7" w:rsidP="000407B7">
            <w:pPr>
              <w:numPr>
                <w:ilvl w:val="0"/>
                <w:numId w:val="21"/>
              </w:numPr>
              <w:spacing w:after="0"/>
              <w:ind w:hanging="653"/>
              <w:jc w:val="both"/>
              <w:rPr>
                <w:rFonts w:cstheme="minorHAnsi"/>
                <w:color w:val="000000"/>
                <w:szCs w:val="22"/>
                <w:shd w:val="clear" w:color="auto" w:fill="FFFFFF"/>
              </w:rPr>
            </w:pPr>
            <w:r w:rsidRPr="000407B7">
              <w:rPr>
                <w:rFonts w:cstheme="minorHAnsi"/>
                <w:color w:val="000000"/>
                <w:sz w:val="22"/>
                <w:szCs w:val="22"/>
                <w:shd w:val="clear" w:color="auto" w:fill="FFFFFF"/>
              </w:rPr>
              <w:t>in long-term palliative treatment where LHRH analogues or surgery are contraindicated, not tolerated, or where oral therapy is preferred, and</w:t>
            </w:r>
          </w:p>
          <w:p w:rsidR="000407B7" w:rsidRPr="000407B7" w:rsidRDefault="000407B7" w:rsidP="000407B7">
            <w:pPr>
              <w:numPr>
                <w:ilvl w:val="0"/>
                <w:numId w:val="21"/>
              </w:numPr>
              <w:spacing w:after="0"/>
              <w:ind w:hanging="653"/>
              <w:jc w:val="both"/>
              <w:rPr>
                <w:rFonts w:cstheme="minorHAnsi"/>
                <w:szCs w:val="22"/>
              </w:rPr>
            </w:pPr>
            <w:r w:rsidRPr="000407B7">
              <w:rPr>
                <w:rFonts w:cstheme="minorHAnsi"/>
                <w:color w:val="000000"/>
                <w:sz w:val="22"/>
                <w:szCs w:val="22"/>
                <w:shd w:val="clear" w:color="auto" w:fill="FFFFFF"/>
              </w:rPr>
              <w:t>in the treatment of hot flushes in patients under treatment with LHRH analogues or who have had orchidectomy.</w:t>
            </w:r>
          </w:p>
          <w:p w:rsidR="000407B7" w:rsidRPr="000407B7" w:rsidRDefault="000407B7" w:rsidP="000407B7">
            <w:pPr>
              <w:numPr>
                <w:ilvl w:val="0"/>
                <w:numId w:val="21"/>
              </w:numPr>
              <w:spacing w:after="0"/>
              <w:ind w:hanging="653"/>
              <w:jc w:val="both"/>
              <w:rPr>
                <w:rFonts w:cstheme="minorHAnsi"/>
                <w:szCs w:val="22"/>
              </w:rPr>
            </w:pPr>
            <w:r w:rsidRPr="000407B7">
              <w:rPr>
                <w:rFonts w:cstheme="minorHAnsi"/>
                <w:sz w:val="22"/>
                <w:szCs w:val="22"/>
              </w:rPr>
              <w:t>to suppress ‘flare’ with initial GnRH analogue therapy, (outside the remit of this agreement)</w:t>
            </w:r>
          </w:p>
        </w:tc>
      </w:tr>
      <w:tr w:rsidR="000407B7" w:rsidRPr="000407B7" w:rsidTr="000407B7">
        <w:trPr>
          <w:trHeight w:val="749"/>
        </w:trPr>
        <w:tc>
          <w:tcPr>
            <w:tcW w:w="1843" w:type="dxa"/>
            <w:vMerge w:val="restart"/>
          </w:tcPr>
          <w:p w:rsidR="000407B7" w:rsidRPr="000407B7" w:rsidRDefault="000407B7" w:rsidP="000407B7">
            <w:pPr>
              <w:pStyle w:val="mtrachead3"/>
              <w:keepNext w:val="0"/>
              <w:rPr>
                <w:rFonts w:asciiTheme="minorHAnsi" w:hAnsiTheme="minorHAnsi" w:cstheme="minorHAnsi"/>
                <w:snapToGrid/>
                <w:sz w:val="22"/>
                <w:szCs w:val="22"/>
              </w:rPr>
            </w:pPr>
            <w:r w:rsidRPr="000407B7">
              <w:rPr>
                <w:rFonts w:asciiTheme="minorHAnsi" w:hAnsiTheme="minorHAnsi" w:cstheme="minorHAnsi"/>
                <w:snapToGrid/>
                <w:sz w:val="22"/>
                <w:szCs w:val="22"/>
              </w:rPr>
              <w:t>Dosage and Administration</w:t>
            </w:r>
          </w:p>
          <w:p w:rsidR="000407B7" w:rsidRPr="000407B7" w:rsidRDefault="000407B7" w:rsidP="000407B7">
            <w:pPr>
              <w:spacing w:after="0"/>
              <w:rPr>
                <w:rFonts w:cstheme="minorHAnsi"/>
                <w:b/>
                <w:szCs w:val="22"/>
              </w:rPr>
            </w:pPr>
          </w:p>
        </w:tc>
        <w:tc>
          <w:tcPr>
            <w:tcW w:w="425" w:type="dxa"/>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1</w:t>
            </w:r>
          </w:p>
        </w:tc>
        <w:tc>
          <w:tcPr>
            <w:tcW w:w="7655" w:type="dxa"/>
            <w:gridSpan w:val="2"/>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 xml:space="preserve">For long-term palliative treatment where GnRH analogues or surgery are contraindicated, not tolerated, or where oral therapy is preferred the dosage is 200-300 mg/day. </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The dosage should be divided into 2 - 3 doses per day and taken with some liquid after meals.</w:t>
            </w:r>
          </w:p>
        </w:tc>
      </w:tr>
      <w:tr w:rsidR="000407B7" w:rsidRPr="000407B7" w:rsidTr="000407B7">
        <w:trPr>
          <w:trHeight w:val="1073"/>
        </w:trPr>
        <w:tc>
          <w:tcPr>
            <w:tcW w:w="1843" w:type="dxa"/>
            <w:vMerge/>
          </w:tcPr>
          <w:p w:rsidR="000407B7" w:rsidRPr="000407B7" w:rsidRDefault="000407B7" w:rsidP="000407B7">
            <w:pPr>
              <w:pStyle w:val="mtrachead3"/>
              <w:keepNext w:val="0"/>
              <w:rPr>
                <w:rFonts w:asciiTheme="minorHAnsi" w:hAnsiTheme="minorHAnsi" w:cstheme="minorHAnsi"/>
                <w:snapToGrid/>
                <w:sz w:val="22"/>
                <w:szCs w:val="22"/>
              </w:rPr>
            </w:pPr>
          </w:p>
        </w:tc>
        <w:tc>
          <w:tcPr>
            <w:tcW w:w="425" w:type="dxa"/>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2</w:t>
            </w:r>
          </w:p>
        </w:tc>
        <w:tc>
          <w:tcPr>
            <w:tcW w:w="7655" w:type="dxa"/>
            <w:gridSpan w:val="2"/>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For the treatment of hot flushes in patients under treatment with GnRH analogues or who have had orchidectomy a 50 mg starting dose, with upward titration if necessary within the range 50-150 mg/day, is recommended.</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The dosage should be divided into 1 - 3 doses per day and taken with some liquid after meals.</w:t>
            </w:r>
          </w:p>
        </w:tc>
      </w:tr>
      <w:tr w:rsidR="000407B7" w:rsidRPr="000407B7" w:rsidTr="000407B7">
        <w:trPr>
          <w:trHeight w:val="1273"/>
        </w:trPr>
        <w:tc>
          <w:tcPr>
            <w:tcW w:w="1843" w:type="dxa"/>
            <w:vMerge/>
          </w:tcPr>
          <w:p w:rsidR="000407B7" w:rsidRPr="000407B7" w:rsidRDefault="000407B7" w:rsidP="000407B7">
            <w:pPr>
              <w:pStyle w:val="mtrachead3"/>
              <w:keepNext w:val="0"/>
              <w:rPr>
                <w:rFonts w:asciiTheme="minorHAnsi" w:hAnsiTheme="minorHAnsi" w:cstheme="minorHAnsi"/>
                <w:snapToGrid/>
                <w:sz w:val="22"/>
                <w:szCs w:val="22"/>
              </w:rPr>
            </w:pPr>
          </w:p>
        </w:tc>
        <w:tc>
          <w:tcPr>
            <w:tcW w:w="425" w:type="dxa"/>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3</w:t>
            </w:r>
          </w:p>
        </w:tc>
        <w:tc>
          <w:tcPr>
            <w:tcW w:w="7655" w:type="dxa"/>
            <w:gridSpan w:val="2"/>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Dosage for suppression of "flare" with initial LHRH analogue therapy:</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Initially 100mg twice daily alone for 5 - 7 days, followed by100mg twice daily for 3 – 4 weeks together with the GnRH analogue therapy in the dosage recommended by the marketing authorisation holder (see SmPC of GnRH analogue).</w:t>
            </w:r>
          </w:p>
        </w:tc>
      </w:tr>
      <w:tr w:rsidR="000407B7" w:rsidRPr="000407B7" w:rsidTr="000407B7">
        <w:trPr>
          <w:trHeight w:val="342"/>
        </w:trPr>
        <w:tc>
          <w:tcPr>
            <w:tcW w:w="1843" w:type="dxa"/>
            <w:vMerge/>
          </w:tcPr>
          <w:p w:rsidR="000407B7" w:rsidRPr="000407B7" w:rsidRDefault="000407B7" w:rsidP="000407B7">
            <w:pPr>
              <w:pStyle w:val="mtrachead3"/>
              <w:keepNext w:val="0"/>
              <w:rPr>
                <w:rFonts w:asciiTheme="minorHAnsi" w:hAnsiTheme="minorHAnsi" w:cstheme="minorHAnsi"/>
                <w:snapToGrid/>
                <w:sz w:val="22"/>
                <w:szCs w:val="22"/>
              </w:rPr>
            </w:pPr>
          </w:p>
        </w:tc>
        <w:tc>
          <w:tcPr>
            <w:tcW w:w="8080" w:type="dxa"/>
            <w:gridSpan w:val="3"/>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The maximum daily dose is 300 mg.</w:t>
            </w:r>
          </w:p>
        </w:tc>
      </w:tr>
      <w:tr w:rsidR="000407B7" w:rsidRPr="000407B7" w:rsidTr="000407B7">
        <w:tc>
          <w:tcPr>
            <w:tcW w:w="1843" w:type="dxa"/>
          </w:tcPr>
          <w:p w:rsidR="000407B7" w:rsidRPr="000407B7" w:rsidRDefault="000407B7" w:rsidP="000407B7">
            <w:pPr>
              <w:pStyle w:val="mtrachead3"/>
              <w:keepNext w:val="0"/>
              <w:rPr>
                <w:rFonts w:asciiTheme="minorHAnsi" w:hAnsiTheme="minorHAnsi" w:cstheme="minorHAnsi"/>
                <w:snapToGrid/>
                <w:sz w:val="22"/>
                <w:szCs w:val="22"/>
              </w:rPr>
            </w:pPr>
            <w:r w:rsidRPr="000407B7">
              <w:rPr>
                <w:rFonts w:asciiTheme="minorHAnsi" w:hAnsiTheme="minorHAnsi" w:cstheme="minorHAnsi"/>
                <w:color w:val="000000"/>
                <w:sz w:val="22"/>
                <w:szCs w:val="22"/>
              </w:rPr>
              <w:t>Renal impairment</w:t>
            </w:r>
          </w:p>
        </w:tc>
        <w:tc>
          <w:tcPr>
            <w:tcW w:w="8080" w:type="dxa"/>
            <w:gridSpan w:val="3"/>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No dosage adjustment is necessary for patients with renal impairment.</w:t>
            </w:r>
          </w:p>
        </w:tc>
      </w:tr>
      <w:tr w:rsidR="000407B7" w:rsidRPr="000407B7" w:rsidTr="000407B7">
        <w:tc>
          <w:tcPr>
            <w:tcW w:w="1843" w:type="dxa"/>
          </w:tcPr>
          <w:p w:rsidR="000407B7" w:rsidRPr="000407B7" w:rsidRDefault="000407B7" w:rsidP="000407B7">
            <w:pPr>
              <w:pStyle w:val="mtrachead3"/>
              <w:keepNext w:val="0"/>
              <w:rPr>
                <w:rFonts w:asciiTheme="minorHAnsi" w:hAnsiTheme="minorHAnsi" w:cstheme="minorHAnsi"/>
                <w:snapToGrid/>
                <w:sz w:val="22"/>
                <w:szCs w:val="22"/>
              </w:rPr>
            </w:pPr>
            <w:r w:rsidRPr="000407B7">
              <w:rPr>
                <w:rFonts w:asciiTheme="minorHAnsi" w:hAnsiTheme="minorHAnsi" w:cstheme="minorHAnsi"/>
                <w:color w:val="000000"/>
                <w:sz w:val="22"/>
                <w:szCs w:val="22"/>
              </w:rPr>
              <w:t>Hepatic impairment</w:t>
            </w:r>
          </w:p>
        </w:tc>
        <w:tc>
          <w:tcPr>
            <w:tcW w:w="8080" w:type="dxa"/>
            <w:gridSpan w:val="3"/>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shd w:val="clear" w:color="auto" w:fill="FFFFFF"/>
              </w:rPr>
              <w:t>The use of Cyproterone Acetate is contraindicated in patients with liver disease</w:t>
            </w:r>
          </w:p>
        </w:tc>
      </w:tr>
      <w:tr w:rsidR="000407B7" w:rsidRPr="000407B7" w:rsidTr="000407B7">
        <w:tc>
          <w:tcPr>
            <w:tcW w:w="1843" w:type="dxa"/>
          </w:tcPr>
          <w:p w:rsidR="000407B7" w:rsidRPr="000407B7" w:rsidRDefault="000407B7" w:rsidP="000407B7">
            <w:pPr>
              <w:spacing w:after="0"/>
              <w:rPr>
                <w:rFonts w:cstheme="minorHAnsi"/>
                <w:b/>
                <w:szCs w:val="22"/>
              </w:rPr>
            </w:pPr>
            <w:r w:rsidRPr="000407B7">
              <w:rPr>
                <w:rFonts w:cstheme="minorHAnsi"/>
                <w:b/>
                <w:sz w:val="22"/>
                <w:szCs w:val="22"/>
              </w:rPr>
              <w:t>Contraindications</w:t>
            </w:r>
          </w:p>
          <w:p w:rsidR="000407B7" w:rsidRPr="000407B7" w:rsidRDefault="000407B7" w:rsidP="000407B7">
            <w:pPr>
              <w:pStyle w:val="mtrachead3"/>
              <w:keepNext w:val="0"/>
              <w:rPr>
                <w:rFonts w:asciiTheme="minorHAnsi" w:hAnsiTheme="minorHAnsi" w:cstheme="minorHAnsi"/>
                <w:snapToGrid/>
                <w:sz w:val="22"/>
                <w:szCs w:val="22"/>
              </w:rPr>
            </w:pPr>
          </w:p>
        </w:tc>
        <w:tc>
          <w:tcPr>
            <w:tcW w:w="8080" w:type="dxa"/>
            <w:gridSpan w:val="3"/>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Meningioma or a history of meningioma.</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Liver diseases (including Dubin-Johnson syndrome and Rotor syndrome)</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Malignant tumours (except for carcinoma of the prostate)</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Previous or existing liver tumours (only if these are not due to metastases from carcinoma of the prostate)</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Wasting diseases (with the exception of inoperable carcinoma of the prostate)</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Existing thrombosis or embolism</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Hypersensitivity to the active substance or any of the excipients.</w:t>
            </w:r>
          </w:p>
        </w:tc>
      </w:tr>
      <w:tr w:rsidR="000407B7" w:rsidRPr="000407B7" w:rsidTr="000407B7">
        <w:tc>
          <w:tcPr>
            <w:tcW w:w="1843" w:type="dxa"/>
          </w:tcPr>
          <w:p w:rsidR="000407B7" w:rsidRPr="000407B7" w:rsidRDefault="000407B7" w:rsidP="000407B7">
            <w:pPr>
              <w:spacing w:after="0"/>
              <w:jc w:val="both"/>
              <w:rPr>
                <w:rFonts w:cstheme="minorHAnsi"/>
                <w:b/>
                <w:szCs w:val="22"/>
              </w:rPr>
            </w:pPr>
            <w:r w:rsidRPr="000407B7">
              <w:rPr>
                <w:rFonts w:cstheme="minorHAnsi"/>
                <w:b/>
                <w:sz w:val="22"/>
                <w:szCs w:val="22"/>
              </w:rPr>
              <w:t>Cautions</w:t>
            </w:r>
          </w:p>
          <w:p w:rsidR="000407B7" w:rsidRPr="000407B7" w:rsidRDefault="000407B7" w:rsidP="000407B7">
            <w:pPr>
              <w:spacing w:after="0"/>
              <w:rPr>
                <w:rFonts w:cstheme="minorHAnsi"/>
                <w:b/>
                <w:szCs w:val="22"/>
              </w:rPr>
            </w:pPr>
          </w:p>
        </w:tc>
        <w:tc>
          <w:tcPr>
            <w:tcW w:w="8080" w:type="dxa"/>
            <w:gridSpan w:val="3"/>
          </w:tcPr>
          <w:p w:rsidR="000407B7" w:rsidRPr="000407B7" w:rsidRDefault="000407B7" w:rsidP="000407B7">
            <w:pPr>
              <w:spacing w:after="0"/>
              <w:rPr>
                <w:rFonts w:cstheme="minorHAnsi"/>
                <w:color w:val="000000"/>
                <w:szCs w:val="22"/>
              </w:rPr>
            </w:pPr>
            <w:r w:rsidRPr="000407B7">
              <w:rPr>
                <w:rFonts w:cstheme="minorHAnsi"/>
                <w:iCs/>
                <w:color w:val="000000"/>
                <w:sz w:val="22"/>
                <w:szCs w:val="22"/>
              </w:rPr>
              <w:t xml:space="preserve">Diabetes mellitus: </w:t>
            </w:r>
            <w:r w:rsidRPr="000407B7">
              <w:rPr>
                <w:rFonts w:cstheme="minorHAnsi"/>
                <w:color w:val="000000"/>
                <w:sz w:val="22"/>
                <w:szCs w:val="22"/>
              </w:rPr>
              <w:t xml:space="preserve">Strict medical supervision is necessary if the patient suffers from diabetes as </w:t>
            </w:r>
            <w:r w:rsidRPr="000407B7">
              <w:rPr>
                <w:rFonts w:cstheme="minorHAnsi"/>
                <w:sz w:val="22"/>
                <w:szCs w:val="22"/>
              </w:rPr>
              <w:t xml:space="preserve">cyproterone acetate (Cyprostat) </w:t>
            </w:r>
            <w:r w:rsidRPr="000407B7">
              <w:rPr>
                <w:rFonts w:cstheme="minorHAnsi"/>
                <w:color w:val="000000"/>
                <w:sz w:val="22"/>
                <w:szCs w:val="22"/>
              </w:rPr>
              <w:t xml:space="preserve"> can influence carbohydrate metabolism. Parameters of carbohydrate metabolism should be examined carefully in all diabetics before and regularly during treatment because the requirement for oral antidiabetics or insulin can change. </w:t>
            </w:r>
          </w:p>
          <w:p w:rsidR="000407B7" w:rsidRPr="000407B7" w:rsidRDefault="000407B7" w:rsidP="000407B7">
            <w:pPr>
              <w:spacing w:after="0"/>
              <w:rPr>
                <w:rFonts w:cstheme="minorHAnsi"/>
                <w:color w:val="000000"/>
                <w:szCs w:val="22"/>
              </w:rPr>
            </w:pPr>
          </w:p>
          <w:p w:rsidR="000407B7" w:rsidRPr="000407B7" w:rsidRDefault="000407B7" w:rsidP="000407B7">
            <w:pPr>
              <w:spacing w:after="0"/>
              <w:rPr>
                <w:rFonts w:cstheme="minorHAnsi"/>
                <w:color w:val="000000"/>
                <w:szCs w:val="22"/>
              </w:rPr>
            </w:pPr>
            <w:r w:rsidRPr="000407B7">
              <w:rPr>
                <w:rFonts w:cstheme="minorHAnsi"/>
                <w:iCs/>
                <w:color w:val="000000"/>
                <w:sz w:val="22"/>
                <w:szCs w:val="22"/>
              </w:rPr>
              <w:t xml:space="preserve">Adrenocortical function: </w:t>
            </w:r>
            <w:r w:rsidRPr="000407B7">
              <w:rPr>
                <w:rFonts w:cstheme="minorHAnsi"/>
                <w:color w:val="000000"/>
                <w:sz w:val="22"/>
                <w:szCs w:val="22"/>
              </w:rPr>
              <w:t xml:space="preserve">During treatment, adrenocortical function should be checked regularly, as preclinical data suggest a possible suppression due to the coricoid-like effect of </w:t>
            </w:r>
            <w:r w:rsidRPr="000407B7">
              <w:rPr>
                <w:rFonts w:cstheme="minorHAnsi"/>
                <w:sz w:val="22"/>
                <w:szCs w:val="22"/>
              </w:rPr>
              <w:t xml:space="preserve">cyproterone acetate (Cyprostat) </w:t>
            </w:r>
            <w:r w:rsidRPr="000407B7">
              <w:rPr>
                <w:rFonts w:cstheme="minorHAnsi"/>
                <w:color w:val="000000"/>
                <w:sz w:val="22"/>
                <w:szCs w:val="22"/>
              </w:rPr>
              <w:t xml:space="preserve"> with high doses </w:t>
            </w:r>
          </w:p>
          <w:p w:rsidR="000407B7" w:rsidRPr="000407B7" w:rsidRDefault="000407B7" w:rsidP="000407B7">
            <w:pPr>
              <w:spacing w:after="0"/>
              <w:jc w:val="both"/>
              <w:rPr>
                <w:rFonts w:cstheme="minorHAnsi"/>
                <w:szCs w:val="22"/>
              </w:rPr>
            </w:pPr>
          </w:p>
          <w:p w:rsidR="000407B7" w:rsidRPr="000407B7" w:rsidRDefault="000407B7" w:rsidP="000407B7">
            <w:pPr>
              <w:spacing w:after="0"/>
              <w:jc w:val="both"/>
              <w:rPr>
                <w:rFonts w:cstheme="minorHAnsi"/>
                <w:szCs w:val="22"/>
              </w:rPr>
            </w:pPr>
            <w:r w:rsidRPr="000407B7">
              <w:rPr>
                <w:rFonts w:cstheme="minorHAnsi"/>
                <w:sz w:val="22"/>
                <w:szCs w:val="22"/>
              </w:rPr>
              <w:t xml:space="preserve">During post-marketing surveillance, hepatotoxicity became evident. Serious hepatic reactions including hepatitis, cholestatic jaundice and hepatic failure have occurred in </w:t>
            </w:r>
            <w:r w:rsidRPr="000407B7">
              <w:rPr>
                <w:rFonts w:cstheme="minorHAnsi"/>
                <w:sz w:val="22"/>
                <w:szCs w:val="22"/>
              </w:rPr>
              <w:lastRenderedPageBreak/>
              <w:t>association with CPA treatment, mainly in men aged 60-90 years treated for prostate cancer. Patients were typically taking the highest dose (300mg/day).  The mean onset of toxicity was 5 months after initiation of treatment, although 7 cases began within a month.  The SPC for CPA notes that hepatotoxicity is also dose-related.</w:t>
            </w:r>
          </w:p>
          <w:p w:rsidR="000407B7" w:rsidRPr="000407B7" w:rsidRDefault="000407B7" w:rsidP="000407B7">
            <w:pPr>
              <w:spacing w:after="0"/>
              <w:rPr>
                <w:rFonts w:cstheme="minorHAnsi"/>
                <w:szCs w:val="22"/>
              </w:rPr>
            </w:pPr>
          </w:p>
        </w:tc>
      </w:tr>
    </w:tbl>
    <w:p w:rsidR="000407B7" w:rsidRDefault="000407B7" w:rsidP="000407B7">
      <w:pPr>
        <w:spacing w:after="0"/>
        <w:rPr>
          <w:rFonts w:cstheme="minorHAnsi"/>
          <w:sz w:val="22"/>
          <w:szCs w:val="22"/>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8080"/>
      </w:tblGrid>
      <w:tr w:rsidR="000407B7" w:rsidRPr="000407B7" w:rsidTr="000407B7">
        <w:tc>
          <w:tcPr>
            <w:tcW w:w="1843" w:type="dxa"/>
          </w:tcPr>
          <w:p w:rsidR="000407B7" w:rsidRPr="000407B7" w:rsidRDefault="000407B7" w:rsidP="000407B7">
            <w:pPr>
              <w:spacing w:after="0"/>
              <w:jc w:val="both"/>
              <w:rPr>
                <w:rFonts w:cstheme="minorHAnsi"/>
                <w:b/>
                <w:szCs w:val="22"/>
              </w:rPr>
            </w:pPr>
            <w:r w:rsidRPr="000407B7">
              <w:rPr>
                <w:rFonts w:cstheme="minorHAnsi"/>
                <w:b/>
                <w:sz w:val="22"/>
                <w:szCs w:val="22"/>
              </w:rPr>
              <w:t>Cautions</w:t>
            </w:r>
          </w:p>
          <w:p w:rsidR="000407B7" w:rsidRPr="000407B7" w:rsidRDefault="000407B7" w:rsidP="000407B7">
            <w:pPr>
              <w:spacing w:after="0"/>
              <w:jc w:val="both"/>
              <w:rPr>
                <w:rFonts w:cstheme="minorHAnsi"/>
                <w:b/>
                <w:szCs w:val="22"/>
              </w:rPr>
            </w:pPr>
          </w:p>
        </w:tc>
        <w:tc>
          <w:tcPr>
            <w:tcW w:w="8080" w:type="dxa"/>
          </w:tcPr>
          <w:p w:rsidR="000407B7" w:rsidRPr="000407B7" w:rsidRDefault="000407B7" w:rsidP="000407B7">
            <w:pPr>
              <w:spacing w:after="0"/>
              <w:rPr>
                <w:rFonts w:cstheme="minorHAnsi"/>
                <w:color w:val="000000"/>
                <w:szCs w:val="22"/>
              </w:rPr>
            </w:pPr>
            <w:r w:rsidRPr="000407B7">
              <w:rPr>
                <w:rFonts w:cstheme="minorHAnsi"/>
                <w:iCs/>
                <w:color w:val="000000"/>
                <w:sz w:val="22"/>
                <w:szCs w:val="22"/>
              </w:rPr>
              <w:t>Thromboembolic events</w:t>
            </w:r>
            <w:r w:rsidRPr="000407B7">
              <w:rPr>
                <w:rFonts w:cstheme="minorHAnsi"/>
                <w:color w:val="000000"/>
                <w:sz w:val="22"/>
                <w:szCs w:val="22"/>
              </w:rPr>
              <w:t xml:space="preserve">: The occurrence of thromboembolic events has been reported in patients using CPA, although a causal relationship has not been established. Patients with previous arterial or venous thrombotic / thromboembolic events (e.g. deep vein thrombosis, pulmonary embolism, myocardial infarction), with a history of cerebrovascular accidents or with advanced malignancies are at increased risk of further thromboembolic events, and may be at risk of recurrence of the disease during CPA therapy. </w:t>
            </w:r>
          </w:p>
          <w:p w:rsidR="000407B7" w:rsidRPr="000407B7" w:rsidRDefault="000407B7" w:rsidP="000407B7">
            <w:pPr>
              <w:spacing w:after="0"/>
              <w:rPr>
                <w:rFonts w:cstheme="minorHAnsi"/>
                <w:color w:val="000000"/>
                <w:szCs w:val="22"/>
              </w:rPr>
            </w:pPr>
          </w:p>
          <w:p w:rsidR="000407B7" w:rsidRPr="000407B7" w:rsidRDefault="000407B7" w:rsidP="000407B7">
            <w:pPr>
              <w:spacing w:after="0"/>
              <w:rPr>
                <w:rFonts w:cstheme="minorHAnsi"/>
                <w:color w:val="000000"/>
                <w:szCs w:val="22"/>
              </w:rPr>
            </w:pPr>
            <w:r w:rsidRPr="000407B7">
              <w:rPr>
                <w:rFonts w:cstheme="minorHAnsi"/>
                <w:color w:val="000000"/>
                <w:sz w:val="22"/>
                <w:szCs w:val="22"/>
              </w:rPr>
              <w:t xml:space="preserve">In patients with a history of thromboembolic processes or suffering from sickle-cell anaemia or severe diabetes with vascular changes, the risk: benefit ratio must be considered carefully in each individual case before </w:t>
            </w:r>
            <w:r w:rsidRPr="000407B7">
              <w:rPr>
                <w:rFonts w:cstheme="minorHAnsi"/>
                <w:sz w:val="22"/>
                <w:szCs w:val="22"/>
              </w:rPr>
              <w:t xml:space="preserve">cyproterone acetate (Cyprostat) </w:t>
            </w:r>
            <w:r w:rsidRPr="000407B7">
              <w:rPr>
                <w:rFonts w:cstheme="minorHAnsi"/>
                <w:color w:val="000000"/>
                <w:sz w:val="22"/>
                <w:szCs w:val="22"/>
              </w:rPr>
              <w:t xml:space="preserve"> is prescribed. </w:t>
            </w:r>
          </w:p>
          <w:p w:rsidR="000407B7" w:rsidRPr="000407B7" w:rsidRDefault="000407B7" w:rsidP="000407B7">
            <w:pPr>
              <w:spacing w:after="0"/>
              <w:rPr>
                <w:rFonts w:cstheme="minorHAnsi"/>
                <w:color w:val="000000"/>
                <w:szCs w:val="22"/>
              </w:rPr>
            </w:pPr>
          </w:p>
          <w:p w:rsidR="000407B7" w:rsidRPr="000407B7" w:rsidRDefault="000407B7" w:rsidP="000407B7">
            <w:pPr>
              <w:spacing w:after="0"/>
              <w:rPr>
                <w:rFonts w:cstheme="minorHAnsi"/>
                <w:color w:val="000000"/>
                <w:szCs w:val="22"/>
              </w:rPr>
            </w:pPr>
            <w:r w:rsidRPr="000407B7">
              <w:rPr>
                <w:rFonts w:cstheme="minorHAnsi"/>
                <w:iCs/>
                <w:color w:val="000000"/>
                <w:sz w:val="22"/>
                <w:szCs w:val="22"/>
              </w:rPr>
              <w:t xml:space="preserve">Chronic depression: </w:t>
            </w:r>
            <w:r w:rsidRPr="000407B7">
              <w:rPr>
                <w:rFonts w:cstheme="minorHAnsi"/>
                <w:color w:val="000000"/>
                <w:sz w:val="22"/>
                <w:szCs w:val="22"/>
              </w:rPr>
              <w:t xml:space="preserve">It has been found that some patients with severe chronic depression deteriorate whilst taking </w:t>
            </w:r>
            <w:r w:rsidRPr="000407B7">
              <w:rPr>
                <w:rFonts w:cstheme="minorHAnsi"/>
                <w:sz w:val="22"/>
                <w:szCs w:val="22"/>
              </w:rPr>
              <w:t xml:space="preserve">cyproterone acetate (Cyprostat) </w:t>
            </w:r>
            <w:r w:rsidRPr="000407B7">
              <w:rPr>
                <w:rFonts w:cstheme="minorHAnsi"/>
                <w:color w:val="000000"/>
                <w:sz w:val="22"/>
                <w:szCs w:val="22"/>
              </w:rPr>
              <w:t xml:space="preserve"> therapy. Such patients should be closely monitored for signs of deterioration and warned to contact their doctor immediately if their depression worsens. </w:t>
            </w:r>
          </w:p>
          <w:p w:rsidR="000407B7" w:rsidRPr="000407B7" w:rsidRDefault="000407B7" w:rsidP="000407B7">
            <w:pPr>
              <w:spacing w:after="0"/>
              <w:rPr>
                <w:rFonts w:cstheme="minorHAnsi"/>
                <w:color w:val="000000"/>
                <w:szCs w:val="22"/>
              </w:rPr>
            </w:pPr>
          </w:p>
          <w:p w:rsidR="000407B7" w:rsidRPr="000407B7" w:rsidRDefault="000407B7" w:rsidP="000407B7">
            <w:pPr>
              <w:spacing w:after="0"/>
              <w:rPr>
                <w:rFonts w:cstheme="minorHAnsi"/>
                <w:color w:val="000000"/>
                <w:szCs w:val="22"/>
              </w:rPr>
            </w:pPr>
            <w:r w:rsidRPr="000407B7">
              <w:rPr>
                <w:rFonts w:cstheme="minorHAnsi"/>
                <w:iCs/>
                <w:color w:val="000000"/>
                <w:sz w:val="22"/>
                <w:szCs w:val="22"/>
              </w:rPr>
              <w:t>Shortness of breath:</w:t>
            </w:r>
            <w:r w:rsidRPr="000407B7">
              <w:rPr>
                <w:rFonts w:cstheme="minorHAnsi"/>
                <w:color w:val="000000"/>
                <w:sz w:val="22"/>
                <w:szCs w:val="22"/>
              </w:rPr>
              <w:t xml:space="preserve"> Shortness of breath may occur under high-dosed treatment with </w:t>
            </w:r>
            <w:r w:rsidRPr="000407B7">
              <w:rPr>
                <w:rFonts w:cstheme="minorHAnsi"/>
                <w:sz w:val="22"/>
                <w:szCs w:val="22"/>
              </w:rPr>
              <w:t>cyproterone acetate (Cyprostat)</w:t>
            </w:r>
            <w:r w:rsidRPr="000407B7">
              <w:rPr>
                <w:rFonts w:cstheme="minorHAnsi"/>
                <w:color w:val="000000"/>
                <w:sz w:val="22"/>
                <w:szCs w:val="22"/>
              </w:rPr>
              <w:t xml:space="preserve">. This may be due to the stimulatory effect of progesterone and synthetic progestogens on breathing, which is accompanied by hypocapnia and compensatory alkalosis, and which is not considered to require treatment. </w:t>
            </w:r>
          </w:p>
          <w:p w:rsidR="000407B7" w:rsidRPr="000407B7" w:rsidRDefault="000407B7" w:rsidP="000407B7">
            <w:pPr>
              <w:spacing w:after="0"/>
              <w:rPr>
                <w:rFonts w:cstheme="minorHAnsi"/>
                <w:iCs/>
                <w:color w:val="000000"/>
                <w:szCs w:val="22"/>
              </w:rPr>
            </w:pPr>
          </w:p>
        </w:tc>
      </w:tr>
      <w:tr w:rsidR="000407B7" w:rsidRPr="000407B7" w:rsidTr="000407B7">
        <w:tc>
          <w:tcPr>
            <w:tcW w:w="1843" w:type="dxa"/>
          </w:tcPr>
          <w:p w:rsidR="000407B7" w:rsidRPr="000407B7" w:rsidRDefault="000407B7" w:rsidP="000407B7">
            <w:pPr>
              <w:pStyle w:val="mtrachead3"/>
              <w:keepNext w:val="0"/>
              <w:rPr>
                <w:rFonts w:asciiTheme="minorHAnsi" w:hAnsiTheme="minorHAnsi" w:cstheme="minorHAnsi"/>
                <w:snapToGrid/>
                <w:sz w:val="22"/>
                <w:szCs w:val="22"/>
              </w:rPr>
            </w:pPr>
            <w:r w:rsidRPr="000407B7">
              <w:rPr>
                <w:rFonts w:asciiTheme="minorHAnsi" w:hAnsiTheme="minorHAnsi" w:cstheme="minorHAnsi"/>
                <w:snapToGrid/>
                <w:sz w:val="22"/>
                <w:szCs w:val="22"/>
              </w:rPr>
              <w:t>Side Effects</w:t>
            </w:r>
          </w:p>
          <w:p w:rsidR="000407B7" w:rsidRPr="000407B7" w:rsidRDefault="000407B7" w:rsidP="000407B7">
            <w:pPr>
              <w:spacing w:after="0"/>
              <w:rPr>
                <w:rFonts w:cstheme="minorHAnsi"/>
                <w:b/>
                <w:szCs w:val="22"/>
              </w:rPr>
            </w:pPr>
          </w:p>
        </w:tc>
        <w:tc>
          <w:tcPr>
            <w:tcW w:w="8080" w:type="dxa"/>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 xml:space="preserve">The most frequently observed adverse drug reactions are </w:t>
            </w:r>
          </w:p>
          <w:p w:rsidR="000407B7" w:rsidRPr="000407B7" w:rsidRDefault="000407B7" w:rsidP="000407B7">
            <w:pPr>
              <w:pStyle w:val="NormalWeb"/>
              <w:numPr>
                <w:ilvl w:val="0"/>
                <w:numId w:val="22"/>
              </w:numPr>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decreased libido, erectile dysfunction and reversible inhibition of spermatogenesis.</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 xml:space="preserve">The most serious ADRs are </w:t>
            </w:r>
          </w:p>
          <w:p w:rsidR="000407B7" w:rsidRPr="000407B7" w:rsidRDefault="000407B7" w:rsidP="000407B7">
            <w:pPr>
              <w:pStyle w:val="NormalWeb"/>
              <w:numPr>
                <w:ilvl w:val="0"/>
                <w:numId w:val="22"/>
              </w:numPr>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hepatic toxicity, benign and malignant liver tumours which may lead to intra-abdominal haemorrhage and thromboembolic events.</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shd w:val="clear" w:color="auto" w:fill="FFFFFF"/>
              </w:rPr>
            </w:pPr>
            <w:r w:rsidRPr="000407B7">
              <w:rPr>
                <w:rFonts w:asciiTheme="minorHAnsi" w:hAnsiTheme="minorHAnsi" w:cstheme="minorHAnsi"/>
                <w:sz w:val="22"/>
                <w:szCs w:val="22"/>
                <w:shd w:val="clear" w:color="auto" w:fill="FFFFFF"/>
              </w:rPr>
              <w:t>Common side effects also include:-</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shd w:val="clear" w:color="auto" w:fill="FFFFFF"/>
              </w:rPr>
            </w:pPr>
            <w:r w:rsidRPr="000407B7">
              <w:rPr>
                <w:rFonts w:asciiTheme="minorHAnsi" w:hAnsiTheme="minorHAnsi" w:cstheme="minorHAnsi"/>
                <w:sz w:val="22"/>
                <w:szCs w:val="22"/>
                <w:shd w:val="clear" w:color="auto" w:fill="FFFFFF"/>
              </w:rPr>
              <w:t>Changes in bodyweight during long term treatment (chiefly weight gains in association with fluid retention). Depressive moods and restlessness (temporary). Dyspnoea.  Direct hepatic toxicity, including jaundice, hepatitis and hepatic failure.  Gynaecomastia (sometimes combined with tenderness to touch of the mamillae) which usually regresses after withdrawal of the preparation.  Hot flushes, sweating, fatigue and lassitude</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shd w:val="clear" w:color="auto" w:fill="FFFFFF"/>
              </w:rPr>
            </w:pPr>
          </w:p>
          <w:p w:rsidR="000407B7" w:rsidRPr="000407B7" w:rsidRDefault="000407B7" w:rsidP="000407B7">
            <w:pPr>
              <w:tabs>
                <w:tab w:val="left" w:pos="-720"/>
                <w:tab w:val="right" w:pos="8505"/>
              </w:tabs>
              <w:suppressAutoHyphens/>
              <w:spacing w:after="0"/>
              <w:ind w:right="29"/>
              <w:jc w:val="both"/>
              <w:rPr>
                <w:rFonts w:cstheme="minorHAnsi"/>
                <w:szCs w:val="22"/>
              </w:rPr>
            </w:pPr>
            <w:r w:rsidRPr="000407B7">
              <w:rPr>
                <w:rFonts w:cstheme="minorHAnsi"/>
                <w:sz w:val="22"/>
                <w:szCs w:val="22"/>
              </w:rPr>
              <w:t>Refer to the SPC for a full list of adverse effects.</w:t>
            </w:r>
          </w:p>
        </w:tc>
      </w:tr>
      <w:tr w:rsidR="000407B7" w:rsidRPr="000407B7" w:rsidTr="000407B7">
        <w:tc>
          <w:tcPr>
            <w:tcW w:w="1843" w:type="dxa"/>
            <w:tcBorders>
              <w:top w:val="single" w:sz="4" w:space="0" w:color="000000"/>
              <w:left w:val="single" w:sz="4" w:space="0" w:color="000000"/>
              <w:bottom w:val="single" w:sz="4" w:space="0" w:color="000000"/>
              <w:right w:val="single" w:sz="4" w:space="0" w:color="000000"/>
            </w:tcBorders>
          </w:tcPr>
          <w:p w:rsidR="000407B7" w:rsidRPr="000407B7" w:rsidRDefault="000407B7" w:rsidP="000407B7">
            <w:pPr>
              <w:pStyle w:val="mtrachead3"/>
              <w:rPr>
                <w:rFonts w:asciiTheme="minorHAnsi" w:hAnsiTheme="minorHAnsi" w:cstheme="minorHAnsi"/>
                <w:snapToGrid/>
                <w:sz w:val="22"/>
                <w:szCs w:val="22"/>
              </w:rPr>
            </w:pPr>
            <w:r w:rsidRPr="000407B7">
              <w:rPr>
                <w:rFonts w:asciiTheme="minorHAnsi" w:hAnsiTheme="minorHAnsi" w:cstheme="minorHAnsi"/>
                <w:snapToGrid/>
                <w:sz w:val="22"/>
                <w:szCs w:val="22"/>
              </w:rPr>
              <w:lastRenderedPageBreak/>
              <w:t>Drug Interactions</w:t>
            </w:r>
          </w:p>
          <w:p w:rsidR="000407B7" w:rsidRPr="000407B7" w:rsidRDefault="000407B7" w:rsidP="000407B7">
            <w:pPr>
              <w:pStyle w:val="mtrachead3"/>
              <w:rPr>
                <w:rFonts w:asciiTheme="minorHAnsi" w:hAnsiTheme="minorHAnsi" w:cstheme="minorHAnsi"/>
                <w:snapToGrid/>
                <w:sz w:val="22"/>
                <w:szCs w:val="22"/>
              </w:rPr>
            </w:pPr>
          </w:p>
        </w:tc>
        <w:tc>
          <w:tcPr>
            <w:tcW w:w="8080" w:type="dxa"/>
            <w:tcBorders>
              <w:top w:val="single" w:sz="4" w:space="0" w:color="000000"/>
              <w:left w:val="single" w:sz="4" w:space="0" w:color="000000"/>
              <w:bottom w:val="single" w:sz="4" w:space="0" w:color="000000"/>
              <w:right w:val="single" w:sz="4" w:space="0" w:color="000000"/>
            </w:tcBorders>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Cyproterone acetate (Cyprostat) is metabolised by CYP3A4, it is expected that ketoconazole, itraconazole, clotrimazole, ritonavir and other strong inhibitors of CYP3A4 inhibit the metabolism of cyproterone acetate. On the other hand, inducers of CYP3A4 such as rifampicin, phenytoin and products containing St. John's wort may reduce the levels of cyproterone acetate</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Cyproterone acetate may inhibit CYP2C8. Thiazolidinediones (i.e. the anti-diabetics pioglitazone and rosiglitazone) are substrates of CYP2C8 (increased blood levels of these anti-diabetics may require dose adjustment</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rPr>
              <w:t>Statin-associated myopathy or rhabdomyolysis may be increased when those HMG-CoA inhibitors (statins) which are primarily metabolised by CYP3A4 are co-administered with high therapeutic cyproterone acetate doses</w:t>
            </w:r>
          </w:p>
        </w:tc>
      </w:tr>
    </w:tbl>
    <w:p w:rsidR="000407B7" w:rsidRPr="000407B7" w:rsidRDefault="000407B7" w:rsidP="000407B7">
      <w:pPr>
        <w:spacing w:after="0"/>
        <w:rPr>
          <w:rFonts w:cstheme="minorHAnsi"/>
          <w:sz w:val="22"/>
          <w:szCs w:val="22"/>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8255"/>
      </w:tblGrid>
      <w:tr w:rsidR="000407B7" w:rsidRPr="000407B7" w:rsidTr="000407B7">
        <w:tc>
          <w:tcPr>
            <w:tcW w:w="1668" w:type="dxa"/>
          </w:tcPr>
          <w:p w:rsidR="000407B7" w:rsidRPr="000407B7" w:rsidRDefault="000407B7" w:rsidP="000407B7">
            <w:pPr>
              <w:tabs>
                <w:tab w:val="right" w:pos="360"/>
                <w:tab w:val="left" w:pos="540"/>
              </w:tabs>
              <w:spacing w:after="0"/>
              <w:rPr>
                <w:rFonts w:cstheme="minorHAnsi"/>
                <w:b/>
                <w:snapToGrid w:val="0"/>
                <w:szCs w:val="22"/>
                <w:lang w:eastAsia="en-US"/>
              </w:rPr>
            </w:pPr>
            <w:r w:rsidRPr="000407B7">
              <w:rPr>
                <w:rFonts w:cstheme="minorHAnsi"/>
                <w:b/>
                <w:snapToGrid w:val="0"/>
                <w:sz w:val="22"/>
                <w:szCs w:val="22"/>
                <w:lang w:eastAsia="en-US"/>
              </w:rPr>
              <w:t>Monitoring</w:t>
            </w:r>
          </w:p>
          <w:p w:rsidR="000407B7" w:rsidRDefault="000407B7" w:rsidP="000407B7">
            <w:pPr>
              <w:pStyle w:val="mtrachead3"/>
              <w:keepNext w:val="0"/>
              <w:rPr>
                <w:rFonts w:asciiTheme="minorHAnsi" w:hAnsiTheme="minorHAnsi" w:cstheme="minorHAnsi"/>
                <w:snapToGrid/>
                <w:sz w:val="22"/>
                <w:szCs w:val="22"/>
              </w:rPr>
            </w:pPr>
          </w:p>
          <w:p w:rsidR="00A16B79" w:rsidRPr="00A16B79" w:rsidRDefault="00A16B79" w:rsidP="00A16B79">
            <w:pPr>
              <w:tabs>
                <w:tab w:val="right" w:pos="360"/>
                <w:tab w:val="left" w:pos="540"/>
              </w:tabs>
              <w:rPr>
                <w:rFonts w:ascii="Calibri" w:hAnsi="Calibri" w:cs="Arial"/>
                <w:b/>
                <w:snapToGrid w:val="0"/>
                <w:color w:val="FF0000"/>
                <w:sz w:val="20"/>
                <w:lang w:eastAsia="en-US"/>
              </w:rPr>
            </w:pPr>
            <w:r w:rsidRPr="00A16B79">
              <w:rPr>
                <w:rFonts w:ascii="Calibri" w:hAnsi="Calibri" w:cs="Arial"/>
                <w:b/>
                <w:snapToGrid w:val="0"/>
                <w:color w:val="FF0000"/>
                <w:sz w:val="20"/>
                <w:lang w:eastAsia="en-US"/>
              </w:rPr>
              <w:t xml:space="preserve">Please refer to the transfer of care form for patients individualised </w:t>
            </w:r>
            <w:r>
              <w:rPr>
                <w:rFonts w:ascii="Calibri" w:hAnsi="Calibri" w:cs="Arial"/>
                <w:b/>
                <w:snapToGrid w:val="0"/>
                <w:color w:val="FF0000"/>
                <w:sz w:val="20"/>
                <w:lang w:eastAsia="en-US"/>
              </w:rPr>
              <w:t>c</w:t>
            </w:r>
            <w:r w:rsidRPr="00A16B79">
              <w:rPr>
                <w:rFonts w:ascii="Calibri" w:hAnsi="Calibri" w:cs="Arial"/>
                <w:b/>
                <w:snapToGrid w:val="0"/>
                <w:color w:val="FF0000"/>
                <w:sz w:val="20"/>
                <w:lang w:eastAsia="en-US"/>
              </w:rPr>
              <w:t>are plan</w:t>
            </w:r>
          </w:p>
          <w:p w:rsidR="00A16B79" w:rsidRPr="000407B7" w:rsidRDefault="00A16B79" w:rsidP="000407B7">
            <w:pPr>
              <w:pStyle w:val="mtrachead3"/>
              <w:keepNext w:val="0"/>
              <w:rPr>
                <w:rFonts w:asciiTheme="minorHAnsi" w:hAnsiTheme="minorHAnsi" w:cstheme="minorHAnsi"/>
                <w:snapToGrid/>
                <w:sz w:val="22"/>
                <w:szCs w:val="22"/>
              </w:rPr>
            </w:pPr>
          </w:p>
        </w:tc>
        <w:tc>
          <w:tcPr>
            <w:tcW w:w="8255" w:type="dxa"/>
          </w:tcPr>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shd w:val="clear" w:color="auto" w:fill="FFFFFF"/>
              </w:rPr>
              <w:t xml:space="preserve">Liver function tests should be performed pre-treatment, regularly during treatment and whenever any symptoms or signs suggestive of hepatotoxicity occur. If hepatotoxicity is confirmed, </w:t>
            </w:r>
            <w:r w:rsidRPr="000407B7">
              <w:rPr>
                <w:rFonts w:asciiTheme="minorHAnsi" w:hAnsiTheme="minorHAnsi" w:cstheme="minorHAnsi"/>
                <w:sz w:val="22"/>
                <w:szCs w:val="22"/>
              </w:rPr>
              <w:t>cyproterone acetate (Cyprostat)</w:t>
            </w:r>
            <w:r w:rsidRPr="000407B7">
              <w:rPr>
                <w:rFonts w:asciiTheme="minorHAnsi" w:hAnsiTheme="minorHAnsi" w:cstheme="minorHAnsi"/>
                <w:snapToGrid w:val="0"/>
                <w:sz w:val="22"/>
                <w:szCs w:val="22"/>
              </w:rPr>
              <w:t xml:space="preserve"> </w:t>
            </w:r>
            <w:r w:rsidRPr="000407B7">
              <w:rPr>
                <w:rFonts w:asciiTheme="minorHAnsi" w:hAnsiTheme="minorHAnsi" w:cstheme="minorHAnsi"/>
                <w:sz w:val="22"/>
                <w:szCs w:val="22"/>
                <w:shd w:val="clear" w:color="auto" w:fill="FFFFFF"/>
              </w:rPr>
              <w:t xml:space="preserve">should be withdrawn, unless the hepatotoxicity can be explained by another cause, e.g. metastatic disease, in which case </w:t>
            </w:r>
            <w:r w:rsidRPr="000407B7">
              <w:rPr>
                <w:rFonts w:asciiTheme="minorHAnsi" w:hAnsiTheme="minorHAnsi" w:cstheme="minorHAnsi"/>
                <w:sz w:val="22"/>
                <w:szCs w:val="22"/>
              </w:rPr>
              <w:t xml:space="preserve">cyproterone acetate (Cyprostat) </w:t>
            </w:r>
            <w:r w:rsidRPr="000407B7">
              <w:rPr>
                <w:rFonts w:asciiTheme="minorHAnsi" w:hAnsiTheme="minorHAnsi" w:cstheme="minorHAnsi"/>
                <w:sz w:val="22"/>
                <w:szCs w:val="22"/>
                <w:shd w:val="clear" w:color="auto" w:fill="FFFFFF"/>
              </w:rPr>
              <w:t>should be continued only if the perceived benefit outweighs the risk.</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p>
          <w:p w:rsidR="000407B7" w:rsidRPr="000407B7" w:rsidRDefault="000407B7" w:rsidP="000407B7">
            <w:pPr>
              <w:pStyle w:val="NormalWeb"/>
              <w:shd w:val="clear" w:color="auto" w:fill="FFFFFF"/>
              <w:spacing w:before="0" w:beforeAutospacing="0" w:after="0"/>
              <w:rPr>
                <w:rFonts w:asciiTheme="minorHAnsi" w:hAnsiTheme="minorHAnsi" w:cstheme="minorHAnsi"/>
                <w:szCs w:val="22"/>
                <w:shd w:val="clear" w:color="auto" w:fill="FFFFFF"/>
              </w:rPr>
            </w:pPr>
            <w:r w:rsidRPr="000407B7">
              <w:rPr>
                <w:rFonts w:asciiTheme="minorHAnsi" w:hAnsiTheme="minorHAnsi" w:cstheme="minorHAnsi"/>
                <w:sz w:val="22"/>
                <w:szCs w:val="22"/>
                <w:shd w:val="clear" w:color="auto" w:fill="FFFFFF"/>
              </w:rPr>
              <w:t xml:space="preserve">Adrenocortical function should be checked regularly, as preclinical data suggest a possible suppression due to the coricoid-like effect of </w:t>
            </w:r>
            <w:r w:rsidRPr="000407B7">
              <w:rPr>
                <w:rFonts w:asciiTheme="minorHAnsi" w:hAnsiTheme="minorHAnsi" w:cstheme="minorHAnsi"/>
                <w:sz w:val="22"/>
                <w:szCs w:val="22"/>
              </w:rPr>
              <w:t xml:space="preserve">cyproterone acetate (Cyprostat) </w:t>
            </w:r>
            <w:r w:rsidRPr="000407B7">
              <w:rPr>
                <w:rFonts w:asciiTheme="minorHAnsi" w:hAnsiTheme="minorHAnsi" w:cstheme="minorHAnsi"/>
                <w:sz w:val="22"/>
                <w:szCs w:val="22"/>
                <w:shd w:val="clear" w:color="auto" w:fill="FFFFFF"/>
              </w:rPr>
              <w:t>with high doses</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shd w:val="clear" w:color="auto" w:fill="FFFFFF"/>
              </w:rPr>
            </w:pPr>
          </w:p>
          <w:p w:rsidR="000407B7" w:rsidRPr="000407B7" w:rsidRDefault="000407B7" w:rsidP="000407B7">
            <w:pPr>
              <w:pStyle w:val="NormalWeb"/>
              <w:shd w:val="clear" w:color="auto" w:fill="FFFFFF"/>
              <w:spacing w:before="0" w:beforeAutospacing="0" w:after="0"/>
              <w:rPr>
                <w:rFonts w:asciiTheme="minorHAnsi" w:hAnsiTheme="minorHAnsi" w:cstheme="minorHAnsi"/>
                <w:szCs w:val="22"/>
                <w:shd w:val="clear" w:color="auto" w:fill="FFFFFF"/>
              </w:rPr>
            </w:pPr>
            <w:r w:rsidRPr="000407B7">
              <w:rPr>
                <w:rFonts w:asciiTheme="minorHAnsi" w:hAnsiTheme="minorHAnsi" w:cstheme="minorHAnsi"/>
                <w:sz w:val="22"/>
                <w:szCs w:val="22"/>
                <w:shd w:val="clear" w:color="auto" w:fill="FFFFFF"/>
              </w:rPr>
              <w:t>Parameters of carbohydrate metabolism should be examined carefully in all diabetics before and regularly during treatment because the requirement for oral antidiabetics or insulin can change</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shd w:val="clear" w:color="auto" w:fill="FFFFFF"/>
              </w:rPr>
            </w:pP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r w:rsidRPr="000407B7">
              <w:rPr>
                <w:rFonts w:asciiTheme="minorHAnsi" w:hAnsiTheme="minorHAnsi" w:cstheme="minorHAnsi"/>
                <w:sz w:val="22"/>
                <w:szCs w:val="22"/>
                <w:shd w:val="clear" w:color="auto" w:fill="FFFFFF"/>
              </w:rPr>
              <w:t>Red blood cell count should be checked regularly during treatment</w:t>
            </w: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693"/>
              <w:gridCol w:w="3214"/>
            </w:tblGrid>
            <w:tr w:rsidR="000407B7" w:rsidRPr="000407B7" w:rsidTr="00A16B79">
              <w:trPr>
                <w:trHeight w:val="240"/>
              </w:trPr>
              <w:tc>
                <w:tcPr>
                  <w:tcW w:w="2093" w:type="dxa"/>
                </w:tcPr>
                <w:p w:rsidR="000407B7" w:rsidRPr="000407B7" w:rsidRDefault="000407B7" w:rsidP="000407B7">
                  <w:pPr>
                    <w:pStyle w:val="Footer"/>
                    <w:tabs>
                      <w:tab w:val="clear" w:pos="4153"/>
                      <w:tab w:val="clear" w:pos="8306"/>
                    </w:tabs>
                    <w:jc w:val="center"/>
                    <w:rPr>
                      <w:rFonts w:asciiTheme="minorHAnsi" w:hAnsiTheme="minorHAnsi" w:cstheme="minorHAnsi"/>
                      <w:b/>
                      <w:szCs w:val="22"/>
                    </w:rPr>
                  </w:pPr>
                  <w:r w:rsidRPr="000407B7">
                    <w:rPr>
                      <w:rFonts w:asciiTheme="minorHAnsi" w:hAnsiTheme="minorHAnsi" w:cstheme="minorHAnsi"/>
                      <w:b/>
                      <w:sz w:val="22"/>
                      <w:szCs w:val="22"/>
                    </w:rPr>
                    <w:t>Parameter</w:t>
                  </w:r>
                </w:p>
              </w:tc>
              <w:tc>
                <w:tcPr>
                  <w:tcW w:w="2693" w:type="dxa"/>
                </w:tcPr>
                <w:p w:rsidR="000407B7" w:rsidRPr="000407B7" w:rsidRDefault="000407B7" w:rsidP="000407B7">
                  <w:pPr>
                    <w:pStyle w:val="Footer"/>
                    <w:tabs>
                      <w:tab w:val="clear" w:pos="4153"/>
                      <w:tab w:val="clear" w:pos="8306"/>
                    </w:tabs>
                    <w:jc w:val="center"/>
                    <w:rPr>
                      <w:rFonts w:asciiTheme="minorHAnsi" w:hAnsiTheme="minorHAnsi" w:cstheme="minorHAnsi"/>
                      <w:b/>
                      <w:szCs w:val="22"/>
                    </w:rPr>
                  </w:pPr>
                  <w:r w:rsidRPr="000407B7">
                    <w:rPr>
                      <w:rFonts w:asciiTheme="minorHAnsi" w:hAnsiTheme="minorHAnsi" w:cstheme="minorHAnsi"/>
                      <w:b/>
                      <w:sz w:val="22"/>
                      <w:szCs w:val="22"/>
                    </w:rPr>
                    <w:t>Frequency of monitoring</w:t>
                  </w:r>
                </w:p>
              </w:tc>
              <w:tc>
                <w:tcPr>
                  <w:tcW w:w="3214" w:type="dxa"/>
                </w:tcPr>
                <w:p w:rsidR="000407B7" w:rsidRPr="000407B7" w:rsidRDefault="000407B7" w:rsidP="000407B7">
                  <w:pPr>
                    <w:pStyle w:val="Footer"/>
                    <w:tabs>
                      <w:tab w:val="clear" w:pos="4153"/>
                      <w:tab w:val="clear" w:pos="8306"/>
                    </w:tabs>
                    <w:jc w:val="center"/>
                    <w:rPr>
                      <w:rFonts w:asciiTheme="minorHAnsi" w:hAnsiTheme="minorHAnsi" w:cstheme="minorHAnsi"/>
                      <w:b/>
                      <w:szCs w:val="22"/>
                    </w:rPr>
                  </w:pPr>
                  <w:r w:rsidRPr="000407B7">
                    <w:rPr>
                      <w:rFonts w:asciiTheme="minorHAnsi" w:hAnsiTheme="minorHAnsi" w:cstheme="minorHAnsi"/>
                      <w:b/>
                      <w:sz w:val="22"/>
                      <w:szCs w:val="22"/>
                    </w:rPr>
                    <w:t>Action</w:t>
                  </w:r>
                </w:p>
              </w:tc>
            </w:tr>
            <w:tr w:rsidR="000407B7" w:rsidRPr="000407B7" w:rsidTr="00A16B79">
              <w:trPr>
                <w:trHeight w:val="240"/>
              </w:trPr>
              <w:tc>
                <w:tcPr>
                  <w:tcW w:w="2093" w:type="dxa"/>
                </w:tcPr>
                <w:p w:rsidR="000407B7" w:rsidRPr="000407B7" w:rsidRDefault="000407B7" w:rsidP="000407B7">
                  <w:pPr>
                    <w:pStyle w:val="Footer"/>
                    <w:tabs>
                      <w:tab w:val="clear" w:pos="4153"/>
                      <w:tab w:val="clear" w:pos="8306"/>
                    </w:tabs>
                    <w:jc w:val="center"/>
                    <w:rPr>
                      <w:rFonts w:asciiTheme="minorHAnsi" w:hAnsiTheme="minorHAnsi" w:cstheme="minorHAnsi"/>
                      <w:b/>
                      <w:szCs w:val="22"/>
                    </w:rPr>
                  </w:pPr>
                  <w:r w:rsidRPr="000407B7">
                    <w:rPr>
                      <w:rFonts w:asciiTheme="minorHAnsi" w:hAnsiTheme="minorHAnsi" w:cstheme="minorHAnsi"/>
                      <w:sz w:val="22"/>
                      <w:szCs w:val="22"/>
                      <w:shd w:val="clear" w:color="auto" w:fill="FFFFFF"/>
                    </w:rPr>
                    <w:t>Liver function tests</w:t>
                  </w:r>
                </w:p>
              </w:tc>
              <w:tc>
                <w:tcPr>
                  <w:tcW w:w="2693" w:type="dxa"/>
                </w:tcPr>
                <w:p w:rsidR="000407B7" w:rsidRPr="000407B7" w:rsidRDefault="000407B7" w:rsidP="000407B7">
                  <w:pPr>
                    <w:pStyle w:val="Footer"/>
                    <w:tabs>
                      <w:tab w:val="clear" w:pos="4153"/>
                      <w:tab w:val="clear" w:pos="8306"/>
                    </w:tabs>
                    <w:rPr>
                      <w:rFonts w:asciiTheme="minorHAnsi" w:hAnsiTheme="minorHAnsi" w:cstheme="minorHAnsi"/>
                      <w:szCs w:val="22"/>
                      <w:shd w:val="clear" w:color="auto" w:fill="FFFFFF"/>
                    </w:rPr>
                  </w:pPr>
                  <w:r w:rsidRPr="000407B7">
                    <w:rPr>
                      <w:rFonts w:asciiTheme="minorHAnsi" w:hAnsiTheme="minorHAnsi" w:cstheme="minorHAnsi"/>
                      <w:sz w:val="22"/>
                      <w:szCs w:val="22"/>
                      <w:shd w:val="clear" w:color="auto" w:fill="FFFFFF"/>
                    </w:rPr>
                    <w:t>Pre-treatment</w:t>
                  </w:r>
                </w:p>
                <w:p w:rsidR="000407B7" w:rsidRPr="000407B7" w:rsidRDefault="000407B7" w:rsidP="000407B7">
                  <w:pPr>
                    <w:pStyle w:val="Footer"/>
                    <w:tabs>
                      <w:tab w:val="clear" w:pos="4153"/>
                      <w:tab w:val="clear" w:pos="8306"/>
                    </w:tabs>
                    <w:rPr>
                      <w:rFonts w:asciiTheme="minorHAnsi" w:hAnsiTheme="minorHAnsi" w:cstheme="minorHAnsi"/>
                      <w:szCs w:val="22"/>
                      <w:shd w:val="clear" w:color="auto" w:fill="FFFFFF"/>
                    </w:rPr>
                  </w:pPr>
                  <w:r w:rsidRPr="000407B7">
                    <w:rPr>
                      <w:rFonts w:asciiTheme="minorHAnsi" w:hAnsiTheme="minorHAnsi" w:cstheme="minorHAnsi"/>
                      <w:sz w:val="22"/>
                      <w:szCs w:val="22"/>
                      <w:shd w:val="clear" w:color="auto" w:fill="FFFFFF"/>
                    </w:rPr>
                    <w:t xml:space="preserve">Regularly during treatment and </w:t>
                  </w:r>
                </w:p>
                <w:p w:rsidR="000407B7" w:rsidRPr="000407B7" w:rsidRDefault="000407B7" w:rsidP="000407B7">
                  <w:pPr>
                    <w:pStyle w:val="Footer"/>
                    <w:tabs>
                      <w:tab w:val="clear" w:pos="4153"/>
                      <w:tab w:val="clear" w:pos="8306"/>
                    </w:tabs>
                    <w:rPr>
                      <w:rFonts w:asciiTheme="minorHAnsi" w:hAnsiTheme="minorHAnsi" w:cstheme="minorHAnsi"/>
                      <w:b/>
                      <w:szCs w:val="22"/>
                    </w:rPr>
                  </w:pPr>
                  <w:r w:rsidRPr="000407B7">
                    <w:rPr>
                      <w:rFonts w:asciiTheme="minorHAnsi" w:hAnsiTheme="minorHAnsi" w:cstheme="minorHAnsi"/>
                      <w:sz w:val="22"/>
                      <w:szCs w:val="22"/>
                      <w:shd w:val="clear" w:color="auto" w:fill="FFFFFF"/>
                    </w:rPr>
                    <w:t>If signs &amp; symptoms suggestive of hepatotoxicity</w:t>
                  </w:r>
                </w:p>
              </w:tc>
              <w:tc>
                <w:tcPr>
                  <w:tcW w:w="3214" w:type="dxa"/>
                </w:tcPr>
                <w:p w:rsidR="000407B7" w:rsidRPr="00A16B79" w:rsidRDefault="000407B7" w:rsidP="000407B7">
                  <w:pPr>
                    <w:pStyle w:val="Footer"/>
                    <w:tabs>
                      <w:tab w:val="clear" w:pos="4153"/>
                      <w:tab w:val="clear" w:pos="8306"/>
                    </w:tabs>
                    <w:rPr>
                      <w:rFonts w:asciiTheme="minorHAnsi" w:hAnsiTheme="minorHAnsi" w:cstheme="minorHAnsi"/>
                      <w:i/>
                      <w:szCs w:val="22"/>
                    </w:rPr>
                  </w:pPr>
                  <w:r w:rsidRPr="00A16B79">
                    <w:rPr>
                      <w:rFonts w:asciiTheme="minorHAnsi" w:hAnsiTheme="minorHAnsi" w:cstheme="minorHAnsi"/>
                      <w:sz w:val="22"/>
                      <w:szCs w:val="22"/>
                      <w:shd w:val="clear" w:color="auto" w:fill="FFFFFF"/>
                    </w:rPr>
                    <w:t xml:space="preserve">If hepatotoxicity is confirmed, </w:t>
                  </w:r>
                  <w:r w:rsidRPr="00A16B79">
                    <w:rPr>
                      <w:rFonts w:asciiTheme="minorHAnsi" w:hAnsiTheme="minorHAnsi" w:cstheme="minorHAnsi"/>
                      <w:sz w:val="22"/>
                      <w:szCs w:val="22"/>
                    </w:rPr>
                    <w:t>Cyproterone acetate</w:t>
                  </w:r>
                  <w:r w:rsidRPr="00A16B79">
                    <w:rPr>
                      <w:rFonts w:asciiTheme="minorHAnsi" w:hAnsiTheme="minorHAnsi" w:cstheme="minorHAnsi"/>
                      <w:snapToGrid w:val="0"/>
                      <w:sz w:val="22"/>
                      <w:szCs w:val="22"/>
                    </w:rPr>
                    <w:t xml:space="preserve"> </w:t>
                  </w:r>
                  <w:r w:rsidRPr="00A16B79">
                    <w:rPr>
                      <w:rFonts w:asciiTheme="minorHAnsi" w:hAnsiTheme="minorHAnsi" w:cstheme="minorHAnsi"/>
                      <w:sz w:val="22"/>
                      <w:szCs w:val="22"/>
                      <w:shd w:val="clear" w:color="auto" w:fill="FFFFFF"/>
                    </w:rPr>
                    <w:t xml:space="preserve">should be withdrawn, unless the hepatotoxicity can be explained by another cause, e.g. metastatic disease, in which case </w:t>
                  </w:r>
                  <w:r w:rsidRPr="00A16B79">
                    <w:rPr>
                      <w:rFonts w:asciiTheme="minorHAnsi" w:hAnsiTheme="minorHAnsi" w:cstheme="minorHAnsi"/>
                      <w:sz w:val="22"/>
                      <w:szCs w:val="22"/>
                    </w:rPr>
                    <w:t>Cyproterone acetate</w:t>
                  </w:r>
                  <w:r w:rsidRPr="00A16B79">
                    <w:rPr>
                      <w:rFonts w:asciiTheme="minorHAnsi" w:hAnsiTheme="minorHAnsi" w:cstheme="minorHAnsi"/>
                      <w:sz w:val="22"/>
                      <w:szCs w:val="22"/>
                      <w:shd w:val="clear" w:color="auto" w:fill="FFFFFF"/>
                    </w:rPr>
                    <w:t xml:space="preserve"> should be continued only if the perceived benefit outweighs the risk.</w:t>
                  </w:r>
                  <w:r w:rsidRPr="00A16B79">
                    <w:rPr>
                      <w:rFonts w:asciiTheme="minorHAnsi" w:hAnsiTheme="minorHAnsi" w:cstheme="minorHAnsi"/>
                      <w:i/>
                      <w:sz w:val="22"/>
                      <w:szCs w:val="22"/>
                    </w:rPr>
                    <w:t xml:space="preserve"> </w:t>
                  </w:r>
                </w:p>
                <w:p w:rsidR="000407B7" w:rsidRPr="00A16B79" w:rsidRDefault="000407B7" w:rsidP="000407B7">
                  <w:pPr>
                    <w:pStyle w:val="Footer"/>
                    <w:tabs>
                      <w:tab w:val="clear" w:pos="4153"/>
                      <w:tab w:val="clear" w:pos="8306"/>
                    </w:tabs>
                    <w:rPr>
                      <w:rFonts w:asciiTheme="minorHAnsi" w:hAnsiTheme="minorHAnsi" w:cstheme="minorHAnsi"/>
                      <w:i/>
                      <w:szCs w:val="22"/>
                    </w:rPr>
                  </w:pPr>
                </w:p>
                <w:p w:rsidR="000407B7" w:rsidRPr="000407B7" w:rsidRDefault="000407B7" w:rsidP="000407B7">
                  <w:pPr>
                    <w:pStyle w:val="Footer"/>
                    <w:tabs>
                      <w:tab w:val="clear" w:pos="4153"/>
                      <w:tab w:val="clear" w:pos="8306"/>
                    </w:tabs>
                    <w:rPr>
                      <w:rFonts w:asciiTheme="minorHAnsi" w:hAnsiTheme="minorHAnsi" w:cstheme="minorHAnsi"/>
                      <w:b/>
                      <w:szCs w:val="22"/>
                    </w:rPr>
                  </w:pPr>
                  <w:r w:rsidRPr="00A16B79">
                    <w:rPr>
                      <w:rFonts w:asciiTheme="minorHAnsi" w:hAnsiTheme="minorHAnsi" w:cstheme="minorHAnsi"/>
                      <w:i/>
                      <w:sz w:val="22"/>
                      <w:szCs w:val="22"/>
                    </w:rPr>
                    <w:t>(The SPC notes that a</w:t>
                  </w:r>
                  <w:r w:rsidRPr="00A16B79">
                    <w:rPr>
                      <w:rFonts w:asciiTheme="minorHAnsi" w:hAnsiTheme="minorHAnsi" w:cstheme="minorHAnsi"/>
                      <w:i/>
                      <w:color w:val="000000"/>
                      <w:sz w:val="22"/>
                      <w:szCs w:val="22"/>
                      <w:shd w:val="clear" w:color="auto" w:fill="FFFFFF"/>
                    </w:rPr>
                    <w:t>t dosages of 100 mg and above, cases with fatal outcome have also been reported. Most reported fatal cases were in men with advanced carcinoma of the prostate. Toxicity is dose related and develops, usually, several months after treatment has begun</w:t>
                  </w:r>
                  <w:r w:rsidRPr="00A16B79">
                    <w:rPr>
                      <w:rFonts w:asciiTheme="minorHAnsi" w:hAnsiTheme="minorHAnsi" w:cstheme="minorHAnsi"/>
                      <w:i/>
                      <w:sz w:val="22"/>
                      <w:szCs w:val="22"/>
                    </w:rPr>
                    <w:t>.)</w:t>
                  </w:r>
                </w:p>
              </w:tc>
            </w:tr>
            <w:tr w:rsidR="000407B7" w:rsidRPr="000407B7" w:rsidTr="00A16B79">
              <w:trPr>
                <w:trHeight w:val="240"/>
              </w:trPr>
              <w:tc>
                <w:tcPr>
                  <w:tcW w:w="2093" w:type="dxa"/>
                </w:tcPr>
                <w:p w:rsidR="000407B7" w:rsidRPr="000407B7" w:rsidRDefault="000407B7" w:rsidP="000407B7">
                  <w:pPr>
                    <w:pStyle w:val="Footer"/>
                    <w:tabs>
                      <w:tab w:val="clear" w:pos="4153"/>
                      <w:tab w:val="clear" w:pos="8306"/>
                    </w:tabs>
                    <w:jc w:val="center"/>
                    <w:rPr>
                      <w:rFonts w:asciiTheme="minorHAnsi" w:hAnsiTheme="minorHAnsi" w:cstheme="minorHAnsi"/>
                      <w:szCs w:val="22"/>
                      <w:shd w:val="clear" w:color="auto" w:fill="FFFFFF"/>
                    </w:rPr>
                  </w:pPr>
                  <w:r w:rsidRPr="000407B7">
                    <w:rPr>
                      <w:rFonts w:asciiTheme="minorHAnsi" w:hAnsiTheme="minorHAnsi" w:cstheme="minorHAnsi"/>
                      <w:sz w:val="22"/>
                      <w:szCs w:val="22"/>
                    </w:rPr>
                    <w:lastRenderedPageBreak/>
                    <w:t>U&amp;E's &amp; FBC</w:t>
                  </w:r>
                </w:p>
              </w:tc>
              <w:tc>
                <w:tcPr>
                  <w:tcW w:w="2693" w:type="dxa"/>
                </w:tcPr>
                <w:p w:rsidR="000407B7" w:rsidRPr="000407B7" w:rsidRDefault="000407B7" w:rsidP="000407B7">
                  <w:pPr>
                    <w:pStyle w:val="Footer"/>
                    <w:tabs>
                      <w:tab w:val="clear" w:pos="4153"/>
                      <w:tab w:val="clear" w:pos="8306"/>
                    </w:tabs>
                    <w:rPr>
                      <w:rFonts w:asciiTheme="minorHAnsi" w:hAnsiTheme="minorHAnsi" w:cstheme="minorHAnsi"/>
                      <w:szCs w:val="22"/>
                      <w:shd w:val="clear" w:color="auto" w:fill="FFFFFF"/>
                    </w:rPr>
                  </w:pPr>
                  <w:r w:rsidRPr="000407B7">
                    <w:rPr>
                      <w:rFonts w:asciiTheme="minorHAnsi" w:hAnsiTheme="minorHAnsi" w:cstheme="minorHAnsi"/>
                      <w:sz w:val="22"/>
                      <w:szCs w:val="22"/>
                    </w:rPr>
                    <w:t>Check alongside LFT measurements.</w:t>
                  </w:r>
                </w:p>
              </w:tc>
              <w:tc>
                <w:tcPr>
                  <w:tcW w:w="3214" w:type="dxa"/>
                </w:tcPr>
                <w:p w:rsidR="000407B7" w:rsidRPr="000407B7" w:rsidRDefault="000407B7" w:rsidP="000407B7">
                  <w:pPr>
                    <w:pStyle w:val="Footer"/>
                    <w:tabs>
                      <w:tab w:val="clear" w:pos="4153"/>
                      <w:tab w:val="clear" w:pos="8306"/>
                    </w:tabs>
                    <w:rPr>
                      <w:rFonts w:asciiTheme="minorHAnsi" w:hAnsiTheme="minorHAnsi" w:cstheme="minorHAnsi"/>
                      <w:szCs w:val="22"/>
                      <w:shd w:val="clear" w:color="auto" w:fill="FFFFFF"/>
                    </w:rPr>
                  </w:pPr>
                </w:p>
              </w:tc>
            </w:tr>
            <w:tr w:rsidR="000407B7" w:rsidRPr="000407B7" w:rsidTr="00A16B79">
              <w:trPr>
                <w:trHeight w:val="240"/>
              </w:trPr>
              <w:tc>
                <w:tcPr>
                  <w:tcW w:w="2093" w:type="dxa"/>
                </w:tcPr>
                <w:p w:rsidR="000407B7" w:rsidRPr="000407B7" w:rsidRDefault="000407B7" w:rsidP="000407B7">
                  <w:pPr>
                    <w:pStyle w:val="Footer"/>
                    <w:tabs>
                      <w:tab w:val="clear" w:pos="4153"/>
                      <w:tab w:val="clear" w:pos="8306"/>
                    </w:tabs>
                    <w:rPr>
                      <w:rFonts w:asciiTheme="minorHAnsi" w:hAnsiTheme="minorHAnsi" w:cstheme="minorHAnsi"/>
                      <w:szCs w:val="22"/>
                    </w:rPr>
                  </w:pPr>
                  <w:r w:rsidRPr="000407B7">
                    <w:rPr>
                      <w:rFonts w:asciiTheme="minorHAnsi" w:hAnsiTheme="minorHAnsi" w:cstheme="minorHAnsi"/>
                      <w:sz w:val="22"/>
                      <w:szCs w:val="22"/>
                    </w:rPr>
                    <w:t>Prostate Specific Antigen (PSA) levels</w:t>
                  </w:r>
                </w:p>
              </w:tc>
              <w:tc>
                <w:tcPr>
                  <w:tcW w:w="2693" w:type="dxa"/>
                </w:tcPr>
                <w:p w:rsidR="000407B7" w:rsidRPr="000407B7" w:rsidRDefault="000407B7" w:rsidP="000407B7">
                  <w:pPr>
                    <w:pStyle w:val="Footer"/>
                    <w:tabs>
                      <w:tab w:val="clear" w:pos="4153"/>
                      <w:tab w:val="clear" w:pos="8306"/>
                    </w:tabs>
                    <w:rPr>
                      <w:rFonts w:asciiTheme="minorHAnsi" w:hAnsiTheme="minorHAnsi" w:cstheme="minorHAnsi"/>
                      <w:szCs w:val="22"/>
                    </w:rPr>
                  </w:pPr>
                  <w:r w:rsidRPr="000407B7">
                    <w:rPr>
                      <w:rFonts w:asciiTheme="minorHAnsi" w:hAnsiTheme="minorHAnsi" w:cstheme="minorHAnsi"/>
                      <w:sz w:val="22"/>
                      <w:szCs w:val="22"/>
                    </w:rPr>
                    <w:t>According to specialist's recommendation (can be measured at the same time as LFTs)</w:t>
                  </w:r>
                </w:p>
              </w:tc>
              <w:tc>
                <w:tcPr>
                  <w:tcW w:w="3214" w:type="dxa"/>
                </w:tcPr>
                <w:p w:rsidR="000407B7" w:rsidRPr="000407B7" w:rsidRDefault="000407B7" w:rsidP="000407B7">
                  <w:pPr>
                    <w:pStyle w:val="Footer"/>
                    <w:tabs>
                      <w:tab w:val="clear" w:pos="4153"/>
                      <w:tab w:val="clear" w:pos="8306"/>
                    </w:tabs>
                    <w:rPr>
                      <w:rFonts w:asciiTheme="minorHAnsi" w:hAnsiTheme="minorHAnsi" w:cstheme="minorHAnsi"/>
                      <w:szCs w:val="22"/>
                    </w:rPr>
                  </w:pPr>
                  <w:r w:rsidRPr="000407B7">
                    <w:rPr>
                      <w:rFonts w:asciiTheme="minorHAnsi" w:hAnsiTheme="minorHAnsi" w:cstheme="minorHAnsi"/>
                      <w:sz w:val="22"/>
                      <w:szCs w:val="22"/>
                    </w:rPr>
                    <w:t>Consult with specialist.  High or increasing levels may indicate disease progression, and the need to re-evaluate patient's treatment needs.</w:t>
                  </w:r>
                </w:p>
              </w:tc>
            </w:tr>
          </w:tbl>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p>
          <w:p w:rsidR="000407B7" w:rsidRPr="000407B7" w:rsidRDefault="000407B7" w:rsidP="000407B7">
            <w:pPr>
              <w:pStyle w:val="NormalWeb"/>
              <w:shd w:val="clear" w:color="auto" w:fill="FFFFFF"/>
              <w:spacing w:before="0" w:beforeAutospacing="0" w:after="0"/>
              <w:rPr>
                <w:rFonts w:asciiTheme="minorHAnsi" w:hAnsiTheme="minorHAnsi" w:cstheme="minorHAnsi"/>
                <w:szCs w:val="22"/>
              </w:rPr>
            </w:pPr>
          </w:p>
        </w:tc>
      </w:tr>
    </w:tbl>
    <w:p w:rsidR="000407B7" w:rsidRPr="000407B7" w:rsidRDefault="000407B7" w:rsidP="000407B7">
      <w:pPr>
        <w:tabs>
          <w:tab w:val="left" w:pos="-720"/>
          <w:tab w:val="right" w:pos="9639"/>
        </w:tabs>
        <w:suppressAutoHyphens/>
        <w:spacing w:after="0"/>
        <w:ind w:right="29"/>
        <w:jc w:val="both"/>
        <w:rPr>
          <w:rFonts w:cstheme="minorHAnsi"/>
          <w:spacing w:val="-2"/>
          <w:sz w:val="22"/>
          <w:szCs w:val="22"/>
        </w:rPr>
      </w:pPr>
    </w:p>
    <w:p w:rsidR="000407B7" w:rsidRPr="000407B7" w:rsidRDefault="000407B7" w:rsidP="000407B7">
      <w:pPr>
        <w:pStyle w:val="mtrachead5"/>
        <w:numPr>
          <w:ilvl w:val="0"/>
          <w:numId w:val="0"/>
        </w:numPr>
        <w:rPr>
          <w:rFonts w:asciiTheme="minorHAnsi" w:hAnsiTheme="minorHAnsi" w:cstheme="minorHAnsi"/>
          <w:snapToGrid/>
          <w:sz w:val="22"/>
          <w:szCs w:val="22"/>
        </w:rPr>
      </w:pPr>
      <w:r w:rsidRPr="000407B7">
        <w:rPr>
          <w:rFonts w:asciiTheme="minorHAnsi" w:hAnsiTheme="minorHAnsi" w:cstheme="minorHAnsi"/>
          <w:snapToGrid/>
          <w:sz w:val="22"/>
          <w:szCs w:val="22"/>
        </w:rPr>
        <w:t>References</w:t>
      </w:r>
    </w:p>
    <w:p w:rsidR="000407B7" w:rsidRPr="000407B7" w:rsidRDefault="000407B7" w:rsidP="000407B7">
      <w:pPr>
        <w:spacing w:after="0"/>
        <w:jc w:val="both"/>
        <w:rPr>
          <w:rFonts w:cstheme="minorHAnsi"/>
          <w:sz w:val="22"/>
          <w:szCs w:val="22"/>
        </w:rPr>
      </w:pPr>
      <w:r w:rsidRPr="000407B7">
        <w:rPr>
          <w:rFonts w:cstheme="minorHAnsi"/>
          <w:sz w:val="22"/>
          <w:szCs w:val="22"/>
        </w:rPr>
        <w:t>Cyprostat.  Summary of Product Characteristics 1997.</w:t>
      </w:r>
    </w:p>
    <w:p w:rsidR="000407B7" w:rsidRPr="000407B7" w:rsidRDefault="000407B7" w:rsidP="000407B7">
      <w:pPr>
        <w:spacing w:after="0"/>
        <w:jc w:val="both"/>
        <w:rPr>
          <w:rFonts w:cstheme="minorHAnsi"/>
          <w:sz w:val="22"/>
          <w:szCs w:val="22"/>
        </w:rPr>
      </w:pPr>
      <w:r w:rsidRPr="000407B7">
        <w:rPr>
          <w:rFonts w:cstheme="minorHAnsi"/>
          <w:snapToGrid w:val="0"/>
          <w:sz w:val="22"/>
          <w:szCs w:val="22"/>
          <w:lang w:eastAsia="en-US"/>
        </w:rPr>
        <w:t xml:space="preserve">Committee on Safety on Medicines. Hepatic reactions with cyproterone acetate (Cyprostat, Androcur). </w:t>
      </w:r>
      <w:r w:rsidRPr="000407B7">
        <w:rPr>
          <w:rFonts w:cstheme="minorHAnsi"/>
          <w:i/>
          <w:snapToGrid w:val="0"/>
          <w:sz w:val="22"/>
          <w:szCs w:val="22"/>
          <w:lang w:eastAsia="en-US"/>
        </w:rPr>
        <w:t>Current Problems</w:t>
      </w:r>
      <w:r w:rsidRPr="000407B7">
        <w:rPr>
          <w:rFonts w:cstheme="minorHAnsi"/>
          <w:snapToGrid w:val="0"/>
          <w:sz w:val="22"/>
          <w:szCs w:val="22"/>
          <w:lang w:eastAsia="en-US"/>
        </w:rPr>
        <w:t xml:space="preserve"> 1995;</w:t>
      </w:r>
      <w:r w:rsidRPr="000407B7">
        <w:rPr>
          <w:rFonts w:cstheme="minorHAnsi"/>
          <w:b/>
          <w:snapToGrid w:val="0"/>
          <w:sz w:val="22"/>
          <w:szCs w:val="22"/>
          <w:lang w:eastAsia="en-US"/>
        </w:rPr>
        <w:t>21</w:t>
      </w:r>
      <w:r w:rsidRPr="000407B7">
        <w:rPr>
          <w:rFonts w:cstheme="minorHAnsi"/>
          <w:snapToGrid w:val="0"/>
          <w:sz w:val="22"/>
          <w:szCs w:val="22"/>
          <w:lang w:eastAsia="en-US"/>
        </w:rPr>
        <w:t>:1.</w:t>
      </w:r>
      <w:r w:rsidRPr="000407B7">
        <w:rPr>
          <w:rFonts w:cstheme="minorHAnsi"/>
          <w:sz w:val="22"/>
          <w:szCs w:val="22"/>
        </w:rPr>
        <w:t xml:space="preserve"> </w:t>
      </w:r>
    </w:p>
    <w:p w:rsidR="004A38E7" w:rsidRDefault="004A38E7">
      <w:pPr>
        <w:spacing w:line="276" w:lineRule="auto"/>
        <w:rPr>
          <w:rFonts w:cstheme="minorHAnsi"/>
          <w:sz w:val="22"/>
          <w:szCs w:val="22"/>
        </w:rPr>
      </w:pPr>
      <w:r>
        <w:rPr>
          <w:rFonts w:cstheme="minorHAnsi"/>
          <w:sz w:val="22"/>
          <w:szCs w:val="22"/>
        </w:rPr>
        <w:br w:type="page"/>
      </w:r>
    </w:p>
    <w:p w:rsidR="003235F5" w:rsidRPr="003235F5" w:rsidRDefault="00FF146C" w:rsidP="003235F5">
      <w:pPr>
        <w:spacing w:line="276" w:lineRule="auto"/>
        <w:rPr>
          <w:rFonts w:ascii="Calibri" w:hAnsi="Calibri" w:cs="Arial"/>
          <w:sz w:val="22"/>
          <w:szCs w:val="22"/>
          <w:u w:val="single"/>
        </w:rPr>
      </w:pPr>
      <w:r w:rsidRPr="003235F5">
        <w:rPr>
          <w:rFonts w:ascii="Calibri" w:hAnsi="Calibri" w:cs="Calibri"/>
          <w:b/>
          <w:bCs/>
          <w:sz w:val="22"/>
          <w:szCs w:val="22"/>
          <w:u w:val="single"/>
        </w:rPr>
        <w:lastRenderedPageBreak/>
        <w:t xml:space="preserve">APPENDIX </w:t>
      </w:r>
      <w:r w:rsidRPr="003235F5">
        <w:rPr>
          <w:rFonts w:ascii="Calibri" w:hAnsi="Calibri" w:cs="Calibri"/>
          <w:b/>
          <w:sz w:val="22"/>
          <w:szCs w:val="22"/>
          <w:u w:val="single"/>
        </w:rPr>
        <w:t xml:space="preserve">2c - </w:t>
      </w:r>
      <w:r w:rsidR="003235F5" w:rsidRPr="003235F5">
        <w:rPr>
          <w:rFonts w:ascii="Calibri" w:hAnsi="Calibri" w:cs="Calibri"/>
          <w:b/>
          <w:sz w:val="22"/>
          <w:szCs w:val="22"/>
          <w:u w:val="single"/>
        </w:rPr>
        <w:t>E</w:t>
      </w:r>
      <w:r w:rsidR="003235F5" w:rsidRPr="003235F5">
        <w:rPr>
          <w:rFonts w:ascii="Calibri" w:hAnsi="Calibri" w:cs="Arial"/>
          <w:b/>
          <w:sz w:val="22"/>
          <w:szCs w:val="22"/>
          <w:u w:val="single"/>
        </w:rPr>
        <w:t>xample Template for GP-initiated discharge request</w:t>
      </w:r>
    </w:p>
    <w:p w:rsidR="003235F5" w:rsidRPr="001B1EF0" w:rsidRDefault="003235F5" w:rsidP="003235F5">
      <w:pPr>
        <w:rPr>
          <w:rFonts w:ascii="Calibri" w:hAnsi="Calibri" w:cs="Arial"/>
          <w:sz w:val="22"/>
          <w:szCs w:val="22"/>
        </w:rPr>
      </w:pPr>
    </w:p>
    <w:p w:rsidR="003235F5" w:rsidRPr="001B1EF0" w:rsidRDefault="003235F5" w:rsidP="003235F5">
      <w:pPr>
        <w:rPr>
          <w:rFonts w:ascii="Calibri" w:hAnsi="Calibri" w:cs="Arial"/>
          <w:sz w:val="22"/>
          <w:szCs w:val="22"/>
        </w:rPr>
      </w:pPr>
      <w:r w:rsidRPr="001B1EF0">
        <w:rPr>
          <w:rFonts w:ascii="Calibri" w:hAnsi="Calibri" w:cs="Arial"/>
          <w:sz w:val="22"/>
          <w:szCs w:val="22"/>
        </w:rPr>
        <w:t xml:space="preserve">To </w:t>
      </w:r>
      <w:r w:rsidRPr="001B1EF0">
        <w:rPr>
          <w:rFonts w:ascii="Calibri" w:hAnsi="Calibri" w:cs="Arial"/>
          <w:sz w:val="22"/>
          <w:szCs w:val="22"/>
        </w:rPr>
        <w:tab/>
      </w:r>
      <w:r w:rsidRPr="001B1EF0">
        <w:rPr>
          <w:rFonts w:ascii="Calibri" w:hAnsi="Calibri" w:cs="Arial"/>
          <w:sz w:val="22"/>
          <w:szCs w:val="22"/>
        </w:rPr>
        <w:tab/>
      </w:r>
      <w:r w:rsidRPr="001B1EF0">
        <w:rPr>
          <w:rFonts w:ascii="Calibri" w:hAnsi="Calibri" w:cs="Arial"/>
          <w:sz w:val="22"/>
          <w:szCs w:val="22"/>
        </w:rPr>
        <w:tab/>
      </w:r>
      <w:r w:rsidRPr="001B1EF0">
        <w:rPr>
          <w:rFonts w:ascii="Calibri" w:hAnsi="Calibri" w:cs="Arial"/>
          <w:sz w:val="22"/>
          <w:szCs w:val="22"/>
        </w:rPr>
        <w:tab/>
      </w:r>
      <w:r w:rsidRPr="001B1EF0">
        <w:rPr>
          <w:rFonts w:ascii="Calibri" w:hAnsi="Calibri" w:cs="Arial"/>
          <w:sz w:val="22"/>
          <w:szCs w:val="22"/>
        </w:rPr>
        <w:tab/>
      </w:r>
      <w:r w:rsidRPr="001B1EF0">
        <w:rPr>
          <w:rFonts w:ascii="Calibri" w:hAnsi="Calibri" w:cs="Arial"/>
          <w:sz w:val="22"/>
          <w:szCs w:val="22"/>
        </w:rPr>
        <w:tab/>
      </w:r>
      <w:r w:rsidRPr="001B1EF0">
        <w:rPr>
          <w:rFonts w:ascii="Calibri" w:hAnsi="Calibri" w:cs="Arial"/>
          <w:sz w:val="22"/>
          <w:szCs w:val="22"/>
        </w:rPr>
        <w:tab/>
      </w:r>
      <w:r w:rsidRPr="001B1EF0">
        <w:rPr>
          <w:rFonts w:ascii="Calibri" w:hAnsi="Calibri" w:cs="Arial"/>
          <w:sz w:val="22"/>
          <w:szCs w:val="22"/>
        </w:rPr>
        <w:tab/>
        <w:t>Practice Address</w:t>
      </w:r>
    </w:p>
    <w:p w:rsidR="003235F5" w:rsidRPr="001B1EF0" w:rsidRDefault="003235F5" w:rsidP="003235F5">
      <w:pPr>
        <w:rPr>
          <w:rFonts w:ascii="Calibri" w:hAnsi="Calibri"/>
          <w:sz w:val="22"/>
          <w:szCs w:val="22"/>
        </w:rPr>
      </w:pPr>
    </w:p>
    <w:p w:rsidR="003235F5" w:rsidRPr="001B1EF0" w:rsidRDefault="003235F5" w:rsidP="003235F5">
      <w:pPr>
        <w:rPr>
          <w:rFonts w:ascii="Calibri" w:hAnsi="Calibri"/>
          <w:sz w:val="22"/>
          <w:szCs w:val="22"/>
        </w:rPr>
      </w:pPr>
    </w:p>
    <w:p w:rsidR="003235F5" w:rsidRPr="001B1EF0" w:rsidRDefault="003235F5" w:rsidP="003235F5">
      <w:pPr>
        <w:rPr>
          <w:rFonts w:ascii="Calibri" w:hAnsi="Calibri" w:cs="Arial"/>
          <w:sz w:val="22"/>
          <w:szCs w:val="22"/>
        </w:rPr>
      </w:pPr>
      <w:r w:rsidRPr="001B1EF0">
        <w:rPr>
          <w:rFonts w:ascii="Calibri" w:hAnsi="Calibri" w:cs="Arial"/>
          <w:sz w:val="22"/>
          <w:szCs w:val="22"/>
        </w:rPr>
        <w:t>Patient Name...................................................NHS Number..............................................</w:t>
      </w:r>
    </w:p>
    <w:p w:rsidR="003235F5" w:rsidRPr="001B1EF0" w:rsidRDefault="003235F5" w:rsidP="003235F5">
      <w:pPr>
        <w:rPr>
          <w:rFonts w:ascii="Calibri" w:hAnsi="Calibri" w:cs="Arial"/>
          <w:sz w:val="22"/>
          <w:szCs w:val="22"/>
        </w:rPr>
      </w:pPr>
    </w:p>
    <w:p w:rsidR="003235F5" w:rsidRPr="001B1EF0" w:rsidRDefault="003235F5" w:rsidP="003235F5">
      <w:pPr>
        <w:rPr>
          <w:rFonts w:ascii="Calibri" w:hAnsi="Calibri" w:cs="Arial"/>
          <w:sz w:val="22"/>
          <w:szCs w:val="22"/>
        </w:rPr>
      </w:pPr>
      <w:r w:rsidRPr="001B1EF0">
        <w:rPr>
          <w:rFonts w:ascii="Calibri" w:hAnsi="Calibri" w:cs="Arial"/>
          <w:sz w:val="22"/>
          <w:szCs w:val="22"/>
        </w:rPr>
        <w:t>Address</w:t>
      </w:r>
    </w:p>
    <w:p w:rsidR="003235F5" w:rsidRPr="001B1EF0" w:rsidRDefault="003235F5" w:rsidP="003235F5">
      <w:pPr>
        <w:rPr>
          <w:rFonts w:ascii="Calibri" w:hAnsi="Calibri" w:cs="Arial"/>
          <w:sz w:val="22"/>
          <w:szCs w:val="22"/>
        </w:rPr>
      </w:pPr>
    </w:p>
    <w:p w:rsidR="003235F5" w:rsidRPr="001B1EF0" w:rsidRDefault="003235F5" w:rsidP="003235F5">
      <w:pPr>
        <w:rPr>
          <w:rFonts w:ascii="Calibri" w:hAnsi="Calibri" w:cs="Arial"/>
          <w:sz w:val="22"/>
          <w:szCs w:val="22"/>
        </w:rPr>
      </w:pPr>
    </w:p>
    <w:p w:rsidR="003235F5" w:rsidRPr="001B1EF0" w:rsidRDefault="003235F5" w:rsidP="003235F5">
      <w:pPr>
        <w:rPr>
          <w:rFonts w:ascii="Calibri" w:hAnsi="Calibri" w:cs="Arial"/>
          <w:sz w:val="22"/>
          <w:szCs w:val="22"/>
        </w:rPr>
      </w:pPr>
      <w:r w:rsidRPr="001B1EF0">
        <w:rPr>
          <w:rFonts w:ascii="Calibri" w:hAnsi="Calibri" w:cs="Arial"/>
          <w:sz w:val="22"/>
          <w:szCs w:val="22"/>
        </w:rPr>
        <w:t>Dear Dr/Mr/Ms</w:t>
      </w:r>
    </w:p>
    <w:p w:rsidR="003235F5" w:rsidRPr="001B1EF0" w:rsidRDefault="003235F5" w:rsidP="003235F5">
      <w:pPr>
        <w:rPr>
          <w:rFonts w:ascii="Calibri" w:hAnsi="Calibri" w:cs="Arial"/>
          <w:sz w:val="22"/>
          <w:szCs w:val="22"/>
        </w:rPr>
      </w:pPr>
    </w:p>
    <w:p w:rsidR="003235F5" w:rsidRPr="001B1EF0" w:rsidRDefault="003235F5" w:rsidP="003235F5">
      <w:pPr>
        <w:rPr>
          <w:rFonts w:ascii="Calibri" w:hAnsi="Calibri" w:cs="Arial"/>
          <w:sz w:val="22"/>
          <w:szCs w:val="22"/>
        </w:rPr>
      </w:pPr>
      <w:r w:rsidRPr="001B1EF0">
        <w:rPr>
          <w:rFonts w:ascii="Calibri" w:hAnsi="Calibri" w:cs="Arial"/>
          <w:sz w:val="22"/>
          <w:szCs w:val="22"/>
        </w:rPr>
        <w:t xml:space="preserve">The above patient has been seen in your clinic and I am requesting an opinion as to whether you feel his condition enables him to be discharged under my care. I will be happy to take on his care as I am signed up to the </w:t>
      </w:r>
      <w:r>
        <w:rPr>
          <w:rFonts w:ascii="Calibri" w:hAnsi="Calibri" w:cs="Arial"/>
          <w:sz w:val="22"/>
          <w:szCs w:val="22"/>
        </w:rPr>
        <w:t>Stable prostate LIS</w:t>
      </w:r>
      <w:r w:rsidRPr="001B1EF0">
        <w:rPr>
          <w:rFonts w:ascii="Calibri" w:hAnsi="Calibri" w:cs="Arial"/>
          <w:sz w:val="22"/>
          <w:szCs w:val="22"/>
        </w:rPr>
        <w:t>, jointly agreed between Primary Care and Secondary Care.</w:t>
      </w:r>
    </w:p>
    <w:p w:rsidR="003235F5" w:rsidRPr="001B1EF0" w:rsidRDefault="003235F5" w:rsidP="003235F5">
      <w:pPr>
        <w:rPr>
          <w:rFonts w:ascii="Calibri" w:hAnsi="Calibri" w:cs="Arial"/>
          <w:sz w:val="22"/>
          <w:szCs w:val="22"/>
        </w:rPr>
      </w:pPr>
    </w:p>
    <w:p w:rsidR="003235F5" w:rsidRDefault="003235F5" w:rsidP="003235F5">
      <w:pPr>
        <w:rPr>
          <w:rFonts w:ascii="Calibri" w:hAnsi="Calibri" w:cs="Arial"/>
          <w:sz w:val="22"/>
          <w:szCs w:val="22"/>
        </w:rPr>
      </w:pPr>
      <w:r w:rsidRPr="001B1EF0">
        <w:rPr>
          <w:rFonts w:ascii="Calibri" w:hAnsi="Calibri" w:cs="Arial"/>
          <w:sz w:val="22"/>
          <w:szCs w:val="22"/>
        </w:rPr>
        <w:t>If you are in agreement</w:t>
      </w:r>
      <w:r>
        <w:rPr>
          <w:rFonts w:ascii="Calibri" w:hAnsi="Calibri" w:cs="Arial"/>
          <w:sz w:val="22"/>
          <w:szCs w:val="22"/>
        </w:rPr>
        <w:t xml:space="preserve">, would you please let me have </w:t>
      </w:r>
      <w:r w:rsidRPr="001B1EF0">
        <w:rPr>
          <w:rFonts w:ascii="Calibri" w:hAnsi="Calibri" w:cs="Arial"/>
          <w:sz w:val="22"/>
          <w:szCs w:val="22"/>
        </w:rPr>
        <w:t xml:space="preserve">a Transfer of Care form including recent treatments/changes to medication, investigations and clinical results and any further advice? </w:t>
      </w:r>
    </w:p>
    <w:p w:rsidR="003235F5" w:rsidRPr="001B1EF0" w:rsidRDefault="003235F5" w:rsidP="003235F5">
      <w:pPr>
        <w:rPr>
          <w:rFonts w:ascii="Calibri" w:hAnsi="Calibri" w:cs="Arial"/>
          <w:sz w:val="22"/>
          <w:szCs w:val="22"/>
        </w:rPr>
      </w:pPr>
    </w:p>
    <w:p w:rsidR="003235F5" w:rsidRDefault="003235F5" w:rsidP="003235F5">
      <w:pPr>
        <w:rPr>
          <w:rFonts w:ascii="Calibri" w:hAnsi="Calibri" w:cs="Arial"/>
          <w:sz w:val="22"/>
          <w:szCs w:val="22"/>
        </w:rPr>
      </w:pPr>
      <w:r w:rsidRPr="001B1EF0">
        <w:rPr>
          <w:rFonts w:ascii="Calibri" w:hAnsi="Calibri" w:cs="Arial"/>
          <w:sz w:val="22"/>
          <w:szCs w:val="22"/>
        </w:rPr>
        <w:t>If you feel that this patient should not be discharged from hospital services can you please p</w:t>
      </w:r>
      <w:r>
        <w:rPr>
          <w:rFonts w:ascii="Calibri" w:hAnsi="Calibri" w:cs="Arial"/>
          <w:sz w:val="22"/>
          <w:szCs w:val="22"/>
        </w:rPr>
        <w:t xml:space="preserve">rovide the reason(s) why he </w:t>
      </w:r>
      <w:r w:rsidRPr="001B1EF0">
        <w:rPr>
          <w:rFonts w:ascii="Calibri" w:hAnsi="Calibri" w:cs="Arial"/>
          <w:sz w:val="22"/>
          <w:szCs w:val="22"/>
        </w:rPr>
        <w:t>should remain under your care?</w:t>
      </w:r>
    </w:p>
    <w:p w:rsidR="003235F5" w:rsidRPr="001B1EF0" w:rsidRDefault="003235F5" w:rsidP="003235F5">
      <w:pPr>
        <w:rPr>
          <w:rFonts w:ascii="Calibri" w:hAnsi="Calibri" w:cs="Arial"/>
          <w:sz w:val="22"/>
          <w:szCs w:val="22"/>
        </w:rPr>
      </w:pPr>
    </w:p>
    <w:p w:rsidR="003235F5" w:rsidRPr="001B1EF0" w:rsidRDefault="003235F5" w:rsidP="003235F5">
      <w:pPr>
        <w:rPr>
          <w:rFonts w:ascii="Calibri" w:hAnsi="Calibri" w:cs="Arial"/>
          <w:sz w:val="22"/>
          <w:szCs w:val="22"/>
        </w:rPr>
      </w:pPr>
      <w:r w:rsidRPr="001B1EF0">
        <w:rPr>
          <w:rFonts w:ascii="Calibri" w:hAnsi="Calibri" w:cs="Arial"/>
          <w:sz w:val="22"/>
          <w:szCs w:val="22"/>
        </w:rPr>
        <w:t>Yours sincerely</w:t>
      </w:r>
    </w:p>
    <w:p w:rsidR="003235F5" w:rsidRPr="001B1EF0" w:rsidRDefault="003235F5" w:rsidP="003235F5">
      <w:pPr>
        <w:rPr>
          <w:rFonts w:ascii="Calibri" w:hAnsi="Calibri" w:cs="Arial"/>
          <w:sz w:val="22"/>
          <w:szCs w:val="22"/>
        </w:rPr>
      </w:pPr>
    </w:p>
    <w:p w:rsidR="003235F5" w:rsidRPr="001B1EF0" w:rsidRDefault="003235F5" w:rsidP="003235F5">
      <w:pPr>
        <w:rPr>
          <w:rFonts w:ascii="Calibri" w:hAnsi="Calibri" w:cs="Arial"/>
          <w:sz w:val="22"/>
          <w:szCs w:val="22"/>
        </w:rPr>
      </w:pPr>
    </w:p>
    <w:p w:rsidR="003235F5" w:rsidRPr="001B1EF0" w:rsidRDefault="003235F5" w:rsidP="003235F5">
      <w:pPr>
        <w:rPr>
          <w:rFonts w:ascii="Calibri" w:hAnsi="Calibri" w:cs="Arial"/>
          <w:sz w:val="22"/>
          <w:szCs w:val="22"/>
        </w:rPr>
      </w:pPr>
    </w:p>
    <w:p w:rsidR="003235F5" w:rsidRPr="001B1EF0" w:rsidRDefault="003235F5" w:rsidP="003235F5">
      <w:pPr>
        <w:rPr>
          <w:rFonts w:ascii="Calibri" w:hAnsi="Calibri" w:cs="Arial"/>
          <w:sz w:val="22"/>
          <w:szCs w:val="22"/>
        </w:rPr>
      </w:pPr>
      <w:r w:rsidRPr="001B1EF0">
        <w:rPr>
          <w:rFonts w:ascii="Calibri" w:hAnsi="Calibri" w:cs="Arial"/>
          <w:sz w:val="22"/>
          <w:szCs w:val="22"/>
        </w:rPr>
        <w:t>Xxxxxxxxx</w:t>
      </w:r>
    </w:p>
    <w:p w:rsidR="00FF146C" w:rsidRDefault="00FF146C">
      <w:pPr>
        <w:spacing w:line="276" w:lineRule="auto"/>
        <w:rPr>
          <w:rFonts w:ascii="Calibri" w:eastAsia="Times New Roman" w:hAnsi="Calibri" w:cs="Calibri"/>
          <w:b/>
          <w:bCs/>
          <w:i/>
          <w:sz w:val="22"/>
          <w:szCs w:val="22"/>
          <w:lang w:val="en-GB" w:eastAsia="en-US"/>
        </w:rPr>
      </w:pPr>
      <w:r>
        <w:rPr>
          <w:rFonts w:ascii="Calibri" w:hAnsi="Calibri" w:cs="Calibri"/>
          <w:b/>
          <w:bCs/>
          <w:i/>
          <w:sz w:val="22"/>
          <w:szCs w:val="22"/>
        </w:rPr>
        <w:br w:type="page"/>
      </w:r>
    </w:p>
    <w:p w:rsidR="004A38E7" w:rsidRPr="00774BF6" w:rsidRDefault="004A38E7" w:rsidP="004A38E7">
      <w:pPr>
        <w:pStyle w:val="BodyText"/>
        <w:rPr>
          <w:rFonts w:ascii="Calibri" w:hAnsi="Calibri" w:cs="Calibri"/>
          <w:b/>
          <w:bCs/>
          <w:i/>
          <w:sz w:val="22"/>
          <w:szCs w:val="22"/>
        </w:rPr>
      </w:pPr>
      <w:r w:rsidRPr="00774BF6">
        <w:rPr>
          <w:rFonts w:ascii="Calibri" w:hAnsi="Calibri" w:cs="Calibri"/>
          <w:b/>
          <w:bCs/>
          <w:i/>
          <w:sz w:val="22"/>
          <w:szCs w:val="22"/>
        </w:rPr>
        <w:lastRenderedPageBreak/>
        <w:t xml:space="preserve">APPENDIX </w:t>
      </w:r>
      <w:r>
        <w:rPr>
          <w:rFonts w:ascii="Calibri" w:hAnsi="Calibri" w:cs="Calibri"/>
          <w:b/>
          <w:bCs/>
          <w:i/>
          <w:sz w:val="22"/>
          <w:szCs w:val="22"/>
        </w:rPr>
        <w:t>3</w:t>
      </w:r>
    </w:p>
    <w:p w:rsidR="004A38E7" w:rsidRPr="00B47D6A" w:rsidRDefault="004A38E7" w:rsidP="004A38E7">
      <w:pPr>
        <w:pStyle w:val="BodyText"/>
        <w:rPr>
          <w:rFonts w:ascii="Calibri" w:hAnsi="Calibri" w:cs="Calibri"/>
          <w:b/>
          <w:bCs/>
          <w:sz w:val="22"/>
          <w:szCs w:val="22"/>
        </w:rPr>
      </w:pPr>
      <w:r w:rsidRPr="00B47D6A">
        <w:rPr>
          <w:rFonts w:ascii="Calibri" w:hAnsi="Calibri" w:cs="Calibri"/>
          <w:b/>
          <w:bCs/>
          <w:sz w:val="22"/>
          <w:szCs w:val="22"/>
        </w:rPr>
        <w:t>CONTACT INFORMATION</w:t>
      </w:r>
      <w:r w:rsidRPr="00B47D6A">
        <w:rPr>
          <w:rFonts w:ascii="Calibri" w:hAnsi="Calibri" w:cs="Calibri"/>
          <w:b/>
          <w:bCs/>
          <w:sz w:val="22"/>
          <w:szCs w:val="22"/>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9"/>
        <w:gridCol w:w="1835"/>
        <w:gridCol w:w="4448"/>
      </w:tblGrid>
      <w:tr w:rsidR="004A38E7" w:rsidRPr="00B47D6A" w:rsidTr="002F7CBD">
        <w:trPr>
          <w:trHeight w:val="552"/>
        </w:trPr>
        <w:tc>
          <w:tcPr>
            <w:tcW w:w="3063" w:type="dxa"/>
            <w:tcBorders>
              <w:bottom w:val="single" w:sz="4" w:space="0" w:color="auto"/>
            </w:tcBorders>
            <w:shd w:val="clear" w:color="auto" w:fill="DBE5F1"/>
            <w:vAlign w:val="center"/>
          </w:tcPr>
          <w:p w:rsidR="004A38E7" w:rsidRPr="00B47D6A" w:rsidRDefault="004A38E7" w:rsidP="00FF146C">
            <w:pPr>
              <w:pStyle w:val="BodyText"/>
              <w:jc w:val="center"/>
              <w:rPr>
                <w:rFonts w:ascii="Calibri" w:hAnsi="Calibri" w:cs="Calibri"/>
                <w:b/>
                <w:bCs/>
                <w:szCs w:val="22"/>
              </w:rPr>
            </w:pPr>
            <w:r w:rsidRPr="00B47D6A">
              <w:rPr>
                <w:rFonts w:ascii="Calibri" w:hAnsi="Calibri" w:cs="Calibri"/>
                <w:b/>
                <w:bCs/>
                <w:sz w:val="22"/>
                <w:szCs w:val="22"/>
              </w:rPr>
              <w:t>Contact</w:t>
            </w:r>
          </w:p>
        </w:tc>
        <w:tc>
          <w:tcPr>
            <w:tcW w:w="1876" w:type="dxa"/>
            <w:tcBorders>
              <w:bottom w:val="single" w:sz="4" w:space="0" w:color="auto"/>
            </w:tcBorders>
            <w:shd w:val="clear" w:color="auto" w:fill="DBE5F1"/>
            <w:vAlign w:val="center"/>
          </w:tcPr>
          <w:p w:rsidR="004A38E7" w:rsidRPr="00B47D6A" w:rsidRDefault="004A38E7" w:rsidP="00FF146C">
            <w:pPr>
              <w:pStyle w:val="BodyText"/>
              <w:jc w:val="center"/>
              <w:rPr>
                <w:rFonts w:ascii="Calibri" w:hAnsi="Calibri" w:cs="Calibri"/>
                <w:b/>
                <w:bCs/>
                <w:szCs w:val="22"/>
              </w:rPr>
            </w:pPr>
            <w:r w:rsidRPr="00B47D6A">
              <w:rPr>
                <w:rFonts w:ascii="Calibri" w:hAnsi="Calibri" w:cs="Calibri"/>
                <w:b/>
                <w:bCs/>
                <w:sz w:val="22"/>
                <w:szCs w:val="22"/>
              </w:rPr>
              <w:t>Telephone</w:t>
            </w:r>
          </w:p>
        </w:tc>
        <w:tc>
          <w:tcPr>
            <w:tcW w:w="4467" w:type="dxa"/>
            <w:tcBorders>
              <w:bottom w:val="single" w:sz="4" w:space="0" w:color="auto"/>
            </w:tcBorders>
            <w:shd w:val="clear" w:color="auto" w:fill="DBE5F1"/>
            <w:vAlign w:val="center"/>
          </w:tcPr>
          <w:p w:rsidR="004A38E7" w:rsidRPr="00B47D6A" w:rsidRDefault="004A38E7" w:rsidP="00FF146C">
            <w:pPr>
              <w:pStyle w:val="BodyText"/>
              <w:jc w:val="center"/>
              <w:rPr>
                <w:rFonts w:ascii="Calibri" w:hAnsi="Calibri" w:cs="Calibri"/>
                <w:b/>
                <w:bCs/>
                <w:szCs w:val="22"/>
              </w:rPr>
            </w:pPr>
            <w:r w:rsidRPr="00B47D6A">
              <w:rPr>
                <w:rFonts w:ascii="Calibri" w:hAnsi="Calibri" w:cs="Calibri"/>
                <w:b/>
                <w:bCs/>
                <w:sz w:val="22"/>
                <w:szCs w:val="22"/>
              </w:rPr>
              <w:t>Email / Fax</w:t>
            </w:r>
          </w:p>
        </w:tc>
      </w:tr>
      <w:tr w:rsidR="004A38E7" w:rsidRPr="00B47D6A" w:rsidTr="002F7CBD">
        <w:trPr>
          <w:trHeight w:val="553"/>
        </w:trPr>
        <w:tc>
          <w:tcPr>
            <w:tcW w:w="9406" w:type="dxa"/>
            <w:gridSpan w:val="3"/>
            <w:shd w:val="clear" w:color="auto" w:fill="DBE5F1"/>
            <w:vAlign w:val="center"/>
          </w:tcPr>
          <w:p w:rsidR="004A38E7" w:rsidRPr="00B47D6A" w:rsidRDefault="004A38E7" w:rsidP="00FF146C">
            <w:pPr>
              <w:jc w:val="center"/>
              <w:rPr>
                <w:rFonts w:ascii="Calibri" w:hAnsi="Calibri" w:cs="Calibri"/>
                <w:b/>
                <w:bCs/>
                <w:iCs/>
                <w:szCs w:val="22"/>
              </w:rPr>
            </w:pPr>
            <w:r w:rsidRPr="00B47D6A">
              <w:rPr>
                <w:rFonts w:ascii="Calibri" w:hAnsi="Calibri" w:cs="Calibri"/>
                <w:b/>
                <w:bCs/>
                <w:iCs/>
                <w:sz w:val="22"/>
                <w:szCs w:val="22"/>
              </w:rPr>
              <w:t>Heart of England NHS Foundation Trust</w:t>
            </w:r>
          </w:p>
        </w:tc>
      </w:tr>
      <w:tr w:rsidR="004A38E7" w:rsidRPr="00B47D6A" w:rsidTr="002F7CBD">
        <w:trPr>
          <w:trHeight w:val="553"/>
        </w:trPr>
        <w:tc>
          <w:tcPr>
            <w:tcW w:w="3063" w:type="dxa"/>
          </w:tcPr>
          <w:p w:rsidR="004A38E7" w:rsidRPr="00B47D6A" w:rsidRDefault="004A38E7" w:rsidP="00FF146C">
            <w:pPr>
              <w:rPr>
                <w:rFonts w:ascii="Calibri" w:hAnsi="Calibri" w:cs="Calibri"/>
                <w:bCs/>
                <w:iCs/>
                <w:szCs w:val="22"/>
                <w:highlight w:val="yellow"/>
              </w:rPr>
            </w:pPr>
            <w:r w:rsidRPr="00B47D6A">
              <w:rPr>
                <w:rFonts w:ascii="Calibri" w:hAnsi="Calibri" w:cs="Calibri"/>
                <w:bCs/>
                <w:iCs/>
                <w:sz w:val="22"/>
                <w:szCs w:val="22"/>
              </w:rPr>
              <w:t>Mr. Manu (Arackal) Nair</w:t>
            </w:r>
          </w:p>
        </w:tc>
        <w:tc>
          <w:tcPr>
            <w:tcW w:w="1876" w:type="dxa"/>
            <w:vAlign w:val="center"/>
          </w:tcPr>
          <w:p w:rsidR="004A38E7" w:rsidRPr="00B47D6A" w:rsidRDefault="004A38E7" w:rsidP="00FF146C">
            <w:pPr>
              <w:jc w:val="center"/>
              <w:rPr>
                <w:rFonts w:ascii="Calibri" w:hAnsi="Calibri" w:cs="Calibri"/>
                <w:bCs/>
                <w:iCs/>
                <w:szCs w:val="22"/>
              </w:rPr>
            </w:pPr>
            <w:r w:rsidRPr="00B47D6A">
              <w:rPr>
                <w:rFonts w:ascii="Calibri" w:hAnsi="Calibri" w:cs="Calibri"/>
                <w:bCs/>
                <w:iCs/>
                <w:sz w:val="22"/>
                <w:szCs w:val="22"/>
              </w:rPr>
              <w:t>0121 424 3397</w:t>
            </w:r>
          </w:p>
        </w:tc>
        <w:tc>
          <w:tcPr>
            <w:tcW w:w="4467" w:type="dxa"/>
          </w:tcPr>
          <w:p w:rsidR="004A38E7" w:rsidRPr="00B47D6A" w:rsidRDefault="006A0399" w:rsidP="00FF146C">
            <w:pPr>
              <w:rPr>
                <w:rFonts w:ascii="Calibri" w:hAnsi="Calibri" w:cs="Calibri"/>
                <w:bCs/>
                <w:iCs/>
                <w:szCs w:val="22"/>
              </w:rPr>
            </w:pPr>
            <w:hyperlink r:id="rId19" w:history="1">
              <w:r w:rsidR="004A38E7" w:rsidRPr="00B47D6A">
                <w:rPr>
                  <w:rStyle w:val="Hyperlink"/>
                  <w:rFonts w:ascii="Calibri" w:hAnsi="Calibri" w:cs="Calibri"/>
                  <w:bCs/>
                  <w:iCs/>
                  <w:sz w:val="22"/>
                  <w:szCs w:val="22"/>
                </w:rPr>
                <w:t>Manu.nair@heartofengland.nhs.uk</w:t>
              </w:r>
            </w:hyperlink>
            <w:r w:rsidR="004A38E7" w:rsidRPr="00B47D6A">
              <w:rPr>
                <w:rFonts w:ascii="Calibri" w:hAnsi="Calibri" w:cs="Calibri"/>
                <w:bCs/>
                <w:iCs/>
                <w:sz w:val="22"/>
                <w:szCs w:val="22"/>
              </w:rPr>
              <w:t xml:space="preserve"> </w:t>
            </w:r>
          </w:p>
        </w:tc>
      </w:tr>
      <w:tr w:rsidR="004A38E7" w:rsidRPr="00B47D6A" w:rsidTr="002F7CBD">
        <w:trPr>
          <w:trHeight w:val="553"/>
        </w:trPr>
        <w:tc>
          <w:tcPr>
            <w:tcW w:w="3063" w:type="dxa"/>
          </w:tcPr>
          <w:p w:rsidR="004A38E7" w:rsidRPr="00B47D6A" w:rsidRDefault="004A38E7" w:rsidP="00FF146C">
            <w:pPr>
              <w:rPr>
                <w:rFonts w:ascii="Calibri" w:hAnsi="Calibri" w:cs="Calibri"/>
                <w:bCs/>
                <w:iCs/>
                <w:szCs w:val="22"/>
              </w:rPr>
            </w:pPr>
            <w:r w:rsidRPr="00B47D6A">
              <w:rPr>
                <w:rFonts w:ascii="Calibri" w:hAnsi="Calibri" w:cs="Calibri"/>
                <w:bCs/>
                <w:iCs/>
                <w:sz w:val="22"/>
                <w:szCs w:val="22"/>
              </w:rPr>
              <w:t>Mr. Dev (Bhupendra) Sarmah</w:t>
            </w:r>
          </w:p>
        </w:tc>
        <w:tc>
          <w:tcPr>
            <w:tcW w:w="1876" w:type="dxa"/>
            <w:vAlign w:val="center"/>
          </w:tcPr>
          <w:p w:rsidR="004A38E7" w:rsidRPr="00B47D6A" w:rsidRDefault="004A38E7" w:rsidP="00FF146C">
            <w:pPr>
              <w:jc w:val="center"/>
              <w:rPr>
                <w:rFonts w:ascii="Calibri" w:hAnsi="Calibri" w:cs="Calibri"/>
                <w:bCs/>
                <w:iCs/>
                <w:szCs w:val="22"/>
              </w:rPr>
            </w:pPr>
            <w:r w:rsidRPr="00B47D6A">
              <w:rPr>
                <w:rFonts w:ascii="Calibri" w:hAnsi="Calibri" w:cs="Calibri"/>
                <w:bCs/>
                <w:iCs/>
                <w:sz w:val="22"/>
                <w:szCs w:val="22"/>
              </w:rPr>
              <w:t>0121 424 3334</w:t>
            </w:r>
          </w:p>
        </w:tc>
        <w:tc>
          <w:tcPr>
            <w:tcW w:w="4467" w:type="dxa"/>
          </w:tcPr>
          <w:p w:rsidR="004A38E7" w:rsidRPr="00B47D6A" w:rsidRDefault="006A0399" w:rsidP="00FF146C">
            <w:pPr>
              <w:rPr>
                <w:rFonts w:ascii="Calibri" w:hAnsi="Calibri" w:cs="Calibri"/>
                <w:bCs/>
                <w:iCs/>
                <w:szCs w:val="22"/>
              </w:rPr>
            </w:pPr>
            <w:hyperlink r:id="rId20" w:history="1">
              <w:r w:rsidR="004A38E7" w:rsidRPr="00B47D6A">
                <w:rPr>
                  <w:rStyle w:val="Hyperlink"/>
                  <w:rFonts w:ascii="Calibri" w:hAnsi="Calibri" w:cs="Calibri"/>
                  <w:bCs/>
                  <w:iCs/>
                  <w:sz w:val="22"/>
                  <w:szCs w:val="22"/>
                </w:rPr>
                <w:t>Bhupendra.sarmah@heartofengland.nhs.uk</w:t>
              </w:r>
            </w:hyperlink>
            <w:r w:rsidR="004A38E7" w:rsidRPr="00B47D6A">
              <w:rPr>
                <w:rFonts w:ascii="Calibri" w:hAnsi="Calibri" w:cs="Calibri"/>
                <w:bCs/>
                <w:iCs/>
                <w:sz w:val="22"/>
                <w:szCs w:val="22"/>
              </w:rPr>
              <w:t xml:space="preserve"> </w:t>
            </w:r>
          </w:p>
        </w:tc>
      </w:tr>
      <w:tr w:rsidR="004A38E7" w:rsidRPr="00B47D6A" w:rsidTr="002F7CBD">
        <w:trPr>
          <w:trHeight w:val="553"/>
        </w:trPr>
        <w:tc>
          <w:tcPr>
            <w:tcW w:w="3063" w:type="dxa"/>
          </w:tcPr>
          <w:p w:rsidR="004A38E7" w:rsidRPr="00B47D6A" w:rsidRDefault="004A38E7" w:rsidP="00FF146C">
            <w:pPr>
              <w:rPr>
                <w:rFonts w:ascii="Calibri" w:hAnsi="Calibri" w:cs="Calibri"/>
                <w:bCs/>
                <w:iCs/>
                <w:szCs w:val="22"/>
              </w:rPr>
            </w:pPr>
            <w:r w:rsidRPr="00B47D6A">
              <w:rPr>
                <w:rFonts w:ascii="Calibri" w:hAnsi="Calibri" w:cs="Calibri"/>
                <w:bCs/>
                <w:iCs/>
                <w:sz w:val="22"/>
                <w:szCs w:val="22"/>
              </w:rPr>
              <w:t>Dr. Daniel Ford</w:t>
            </w:r>
          </w:p>
        </w:tc>
        <w:tc>
          <w:tcPr>
            <w:tcW w:w="1876" w:type="dxa"/>
            <w:vAlign w:val="center"/>
          </w:tcPr>
          <w:p w:rsidR="004A38E7" w:rsidRPr="00B47D6A" w:rsidRDefault="004A38E7" w:rsidP="00FF146C">
            <w:pPr>
              <w:jc w:val="center"/>
              <w:rPr>
                <w:rFonts w:ascii="Calibri" w:hAnsi="Calibri" w:cs="Calibri"/>
                <w:bCs/>
                <w:iCs/>
                <w:szCs w:val="22"/>
              </w:rPr>
            </w:pPr>
            <w:r w:rsidRPr="00B47D6A">
              <w:rPr>
                <w:rFonts w:ascii="Calibri" w:hAnsi="Calibri" w:cs="Calibri"/>
                <w:bCs/>
                <w:iCs/>
                <w:sz w:val="22"/>
                <w:szCs w:val="22"/>
              </w:rPr>
              <w:t>0121 424 7587</w:t>
            </w:r>
          </w:p>
        </w:tc>
        <w:tc>
          <w:tcPr>
            <w:tcW w:w="4467" w:type="dxa"/>
          </w:tcPr>
          <w:p w:rsidR="004A38E7" w:rsidRPr="00B47D6A" w:rsidRDefault="006A0399" w:rsidP="00FF146C">
            <w:pPr>
              <w:rPr>
                <w:rFonts w:ascii="Calibri" w:hAnsi="Calibri" w:cs="Calibri"/>
                <w:bCs/>
                <w:iCs/>
                <w:szCs w:val="22"/>
              </w:rPr>
            </w:pPr>
            <w:hyperlink r:id="rId21" w:history="1">
              <w:r w:rsidR="004A38E7" w:rsidRPr="00B47D6A">
                <w:rPr>
                  <w:rStyle w:val="Hyperlink"/>
                  <w:rFonts w:ascii="Calibri" w:hAnsi="Calibri" w:cs="Calibri"/>
                  <w:bCs/>
                  <w:iCs/>
                  <w:sz w:val="22"/>
                  <w:szCs w:val="22"/>
                </w:rPr>
                <w:t>Daniel.ford@heartofengland.nhs.uk</w:t>
              </w:r>
            </w:hyperlink>
            <w:r w:rsidR="004A38E7" w:rsidRPr="00B47D6A">
              <w:rPr>
                <w:rFonts w:ascii="Calibri" w:hAnsi="Calibri" w:cs="Calibri"/>
                <w:bCs/>
                <w:iCs/>
                <w:sz w:val="22"/>
                <w:szCs w:val="22"/>
              </w:rPr>
              <w:t xml:space="preserve"> </w:t>
            </w:r>
          </w:p>
        </w:tc>
      </w:tr>
      <w:tr w:rsidR="004A38E7" w:rsidRPr="00B47D6A" w:rsidTr="002F7CBD">
        <w:trPr>
          <w:trHeight w:val="553"/>
        </w:trPr>
        <w:tc>
          <w:tcPr>
            <w:tcW w:w="3063" w:type="dxa"/>
          </w:tcPr>
          <w:p w:rsidR="004A38E7" w:rsidRPr="00B47D6A" w:rsidRDefault="004A38E7" w:rsidP="00FF146C">
            <w:pPr>
              <w:pStyle w:val="Header"/>
              <w:rPr>
                <w:rFonts w:ascii="Calibri" w:hAnsi="Calibri" w:cs="Arial"/>
                <w:szCs w:val="22"/>
                <w:lang w:val="en-GB"/>
              </w:rPr>
            </w:pPr>
            <w:r w:rsidRPr="00B47D6A">
              <w:rPr>
                <w:rFonts w:ascii="Calibri" w:hAnsi="Calibri" w:cs="Arial"/>
                <w:sz w:val="22"/>
                <w:szCs w:val="22"/>
                <w:lang w:val="en-GB"/>
              </w:rPr>
              <w:t>Nula Allen – Senior Urology Nurse Specialist (Good Hope)</w:t>
            </w:r>
          </w:p>
        </w:tc>
        <w:tc>
          <w:tcPr>
            <w:tcW w:w="1876" w:type="dxa"/>
            <w:vAlign w:val="center"/>
          </w:tcPr>
          <w:p w:rsidR="004A38E7" w:rsidRPr="00B47D6A" w:rsidRDefault="004A38E7" w:rsidP="00FF146C">
            <w:pPr>
              <w:jc w:val="center"/>
              <w:rPr>
                <w:rFonts w:ascii="Calibri" w:hAnsi="Calibri" w:cs="Calibri"/>
                <w:bCs/>
                <w:iCs/>
                <w:szCs w:val="22"/>
              </w:rPr>
            </w:pPr>
            <w:r w:rsidRPr="00B47D6A">
              <w:rPr>
                <w:rFonts w:ascii="Calibri" w:hAnsi="Calibri" w:cs="Calibri"/>
                <w:bCs/>
                <w:iCs/>
                <w:sz w:val="22"/>
                <w:szCs w:val="22"/>
              </w:rPr>
              <w:t>0121 424 7665</w:t>
            </w:r>
          </w:p>
        </w:tc>
        <w:tc>
          <w:tcPr>
            <w:tcW w:w="4467" w:type="dxa"/>
          </w:tcPr>
          <w:p w:rsidR="004A38E7" w:rsidRPr="00B47D6A" w:rsidRDefault="006A0399" w:rsidP="00FF146C">
            <w:pPr>
              <w:rPr>
                <w:rFonts w:ascii="Calibri" w:hAnsi="Calibri" w:cs="Calibri"/>
                <w:bCs/>
                <w:iCs/>
                <w:szCs w:val="22"/>
              </w:rPr>
            </w:pPr>
            <w:hyperlink r:id="rId22" w:history="1">
              <w:r w:rsidR="004A38E7" w:rsidRPr="00B47D6A">
                <w:rPr>
                  <w:rStyle w:val="Hyperlink"/>
                  <w:rFonts w:ascii="Calibri" w:hAnsi="Calibri" w:cs="Calibri"/>
                  <w:bCs/>
                  <w:iCs/>
                  <w:sz w:val="22"/>
                  <w:szCs w:val="22"/>
                </w:rPr>
                <w:t>Nula.allen@heartofengland.nhs.uk</w:t>
              </w:r>
            </w:hyperlink>
            <w:r w:rsidR="004A38E7" w:rsidRPr="00B47D6A">
              <w:rPr>
                <w:rFonts w:ascii="Calibri" w:hAnsi="Calibri" w:cs="Calibri"/>
                <w:bCs/>
                <w:iCs/>
                <w:sz w:val="22"/>
                <w:szCs w:val="22"/>
              </w:rPr>
              <w:t xml:space="preserve"> </w:t>
            </w:r>
          </w:p>
        </w:tc>
      </w:tr>
      <w:tr w:rsidR="004A38E7" w:rsidRPr="00B47D6A" w:rsidTr="002F7CBD">
        <w:trPr>
          <w:trHeight w:val="553"/>
        </w:trPr>
        <w:tc>
          <w:tcPr>
            <w:tcW w:w="3063" w:type="dxa"/>
          </w:tcPr>
          <w:p w:rsidR="004A38E7" w:rsidRPr="00B47D6A" w:rsidRDefault="004A38E7" w:rsidP="00FF146C">
            <w:pPr>
              <w:pStyle w:val="Header"/>
              <w:rPr>
                <w:rFonts w:ascii="Calibri" w:hAnsi="Calibri" w:cs="Arial"/>
                <w:szCs w:val="22"/>
                <w:lang w:val="en-GB"/>
              </w:rPr>
            </w:pPr>
            <w:r w:rsidRPr="00B47D6A">
              <w:rPr>
                <w:rFonts w:ascii="Calibri" w:hAnsi="Calibri" w:cs="Arial"/>
                <w:sz w:val="22"/>
                <w:szCs w:val="22"/>
                <w:lang w:val="en-GB"/>
              </w:rPr>
              <w:t>Chris Broderick – Urology Clinical Nurse Specialist (Good Hope)</w:t>
            </w:r>
          </w:p>
        </w:tc>
        <w:tc>
          <w:tcPr>
            <w:tcW w:w="1876" w:type="dxa"/>
            <w:vAlign w:val="center"/>
          </w:tcPr>
          <w:p w:rsidR="004A38E7" w:rsidRPr="00B47D6A" w:rsidRDefault="004A38E7" w:rsidP="00FF146C">
            <w:pPr>
              <w:jc w:val="center"/>
              <w:rPr>
                <w:rFonts w:ascii="Calibri" w:hAnsi="Calibri" w:cs="Calibri"/>
                <w:bCs/>
                <w:iCs/>
                <w:szCs w:val="22"/>
              </w:rPr>
            </w:pPr>
            <w:r w:rsidRPr="00B47D6A">
              <w:rPr>
                <w:rFonts w:ascii="Calibri" w:hAnsi="Calibri" w:cs="Calibri"/>
                <w:bCs/>
                <w:iCs/>
                <w:sz w:val="22"/>
                <w:szCs w:val="22"/>
              </w:rPr>
              <w:t>0121 424 7665</w:t>
            </w:r>
          </w:p>
        </w:tc>
        <w:tc>
          <w:tcPr>
            <w:tcW w:w="4467" w:type="dxa"/>
          </w:tcPr>
          <w:p w:rsidR="004A38E7" w:rsidRPr="00B47D6A" w:rsidRDefault="006A0399" w:rsidP="00FF146C">
            <w:pPr>
              <w:rPr>
                <w:rFonts w:ascii="Calibri" w:hAnsi="Calibri" w:cs="Calibri"/>
                <w:bCs/>
                <w:iCs/>
                <w:szCs w:val="22"/>
              </w:rPr>
            </w:pPr>
            <w:hyperlink r:id="rId23" w:history="1">
              <w:r w:rsidR="004A38E7" w:rsidRPr="00B47D6A">
                <w:rPr>
                  <w:rStyle w:val="Hyperlink"/>
                  <w:rFonts w:ascii="Calibri" w:hAnsi="Calibri" w:cs="Calibri"/>
                  <w:bCs/>
                  <w:iCs/>
                  <w:sz w:val="22"/>
                  <w:szCs w:val="22"/>
                </w:rPr>
                <w:t>Christine.broderick@heartofengland.nhs.uk</w:t>
              </w:r>
            </w:hyperlink>
            <w:r w:rsidR="004A38E7" w:rsidRPr="00B47D6A">
              <w:rPr>
                <w:rFonts w:ascii="Calibri" w:hAnsi="Calibri" w:cs="Calibri"/>
                <w:bCs/>
                <w:iCs/>
                <w:sz w:val="22"/>
                <w:szCs w:val="22"/>
              </w:rPr>
              <w:t xml:space="preserve"> </w:t>
            </w:r>
          </w:p>
        </w:tc>
      </w:tr>
      <w:tr w:rsidR="004A38E7" w:rsidRPr="00B47D6A" w:rsidTr="002F7CBD">
        <w:trPr>
          <w:trHeight w:val="553"/>
        </w:trPr>
        <w:tc>
          <w:tcPr>
            <w:tcW w:w="3063" w:type="dxa"/>
          </w:tcPr>
          <w:p w:rsidR="004A38E7" w:rsidRPr="00B47D6A" w:rsidRDefault="004A38E7" w:rsidP="00FF146C">
            <w:pPr>
              <w:pStyle w:val="Header"/>
              <w:rPr>
                <w:rFonts w:ascii="Calibri" w:hAnsi="Calibri" w:cs="Arial"/>
                <w:szCs w:val="22"/>
              </w:rPr>
            </w:pPr>
            <w:r w:rsidRPr="00B47D6A">
              <w:rPr>
                <w:rFonts w:ascii="Calibri" w:hAnsi="Calibri" w:cs="Arial"/>
                <w:sz w:val="22"/>
                <w:szCs w:val="22"/>
              </w:rPr>
              <w:t>Carol Evans - Interface Prescribing Manager</w:t>
            </w:r>
          </w:p>
        </w:tc>
        <w:tc>
          <w:tcPr>
            <w:tcW w:w="1876" w:type="dxa"/>
          </w:tcPr>
          <w:p w:rsidR="004A38E7" w:rsidRDefault="004A38E7" w:rsidP="00FF146C">
            <w:pPr>
              <w:jc w:val="center"/>
              <w:rPr>
                <w:rFonts w:ascii="Calibri" w:hAnsi="Calibri" w:cs="Arial"/>
                <w:szCs w:val="22"/>
              </w:rPr>
            </w:pPr>
            <w:r w:rsidRPr="00B47D6A">
              <w:rPr>
                <w:rFonts w:ascii="Calibri" w:hAnsi="Calibri" w:cs="Arial"/>
                <w:sz w:val="22"/>
                <w:szCs w:val="22"/>
              </w:rPr>
              <w:t>0121 424 0447</w:t>
            </w:r>
          </w:p>
          <w:p w:rsidR="004A38E7" w:rsidRPr="00B47D6A" w:rsidRDefault="004A38E7" w:rsidP="00FF146C">
            <w:pPr>
              <w:jc w:val="center"/>
              <w:rPr>
                <w:rFonts w:ascii="Calibri" w:eastAsia="Calibri" w:hAnsi="Calibri" w:cs="Arial"/>
                <w:szCs w:val="22"/>
              </w:rPr>
            </w:pPr>
            <w:r w:rsidRPr="00B47D6A">
              <w:rPr>
                <w:rFonts w:ascii="Calibri" w:hAnsi="Calibri" w:cs="Arial"/>
                <w:sz w:val="22"/>
                <w:szCs w:val="22"/>
              </w:rPr>
              <w:t>0121 424 0448</w:t>
            </w:r>
          </w:p>
        </w:tc>
        <w:tc>
          <w:tcPr>
            <w:tcW w:w="4467" w:type="dxa"/>
          </w:tcPr>
          <w:p w:rsidR="004A38E7" w:rsidRPr="00B47D6A" w:rsidRDefault="006A0399" w:rsidP="00FF146C">
            <w:pPr>
              <w:rPr>
                <w:rFonts w:ascii="Calibri" w:eastAsia="Calibri" w:hAnsi="Calibri" w:cs="Arial"/>
                <w:szCs w:val="22"/>
              </w:rPr>
            </w:pPr>
            <w:hyperlink r:id="rId24" w:history="1">
              <w:r w:rsidR="004A38E7" w:rsidRPr="00B47D6A">
                <w:rPr>
                  <w:rStyle w:val="Hyperlink"/>
                  <w:rFonts w:ascii="Calibri" w:hAnsi="Calibri" w:cs="Arial"/>
                  <w:sz w:val="22"/>
                  <w:szCs w:val="22"/>
                </w:rPr>
                <w:t>carole.evans2@nhs.net</w:t>
              </w:r>
            </w:hyperlink>
            <w:r w:rsidR="004A38E7" w:rsidRPr="00B47D6A">
              <w:rPr>
                <w:rFonts w:ascii="Calibri" w:hAnsi="Calibri" w:cs="Arial"/>
                <w:sz w:val="22"/>
                <w:szCs w:val="22"/>
              </w:rPr>
              <w:t xml:space="preserve"> </w:t>
            </w:r>
          </w:p>
        </w:tc>
      </w:tr>
      <w:tr w:rsidR="002F7CBD" w:rsidRPr="00B47D6A" w:rsidTr="002F7CBD">
        <w:trPr>
          <w:trHeight w:val="553"/>
        </w:trPr>
        <w:tc>
          <w:tcPr>
            <w:tcW w:w="9406" w:type="dxa"/>
            <w:gridSpan w:val="3"/>
            <w:shd w:val="clear" w:color="auto" w:fill="DBE5F1" w:themeFill="accent1" w:themeFillTint="33"/>
          </w:tcPr>
          <w:p w:rsidR="002F7CBD" w:rsidRPr="002F7CBD" w:rsidRDefault="002F7CBD" w:rsidP="002F7CBD">
            <w:pPr>
              <w:jc w:val="center"/>
              <w:rPr>
                <w:b/>
                <w:szCs w:val="22"/>
              </w:rPr>
            </w:pPr>
            <w:r w:rsidRPr="002F7CBD">
              <w:rPr>
                <w:b/>
                <w:sz w:val="22"/>
                <w:szCs w:val="22"/>
              </w:rPr>
              <w:t>University Hospital Birmingham NHS Foundation Trust</w:t>
            </w:r>
          </w:p>
        </w:tc>
      </w:tr>
      <w:tr w:rsidR="002E40FB" w:rsidRPr="00B47D6A" w:rsidTr="002F7CBD">
        <w:trPr>
          <w:trHeight w:val="553"/>
        </w:trPr>
        <w:tc>
          <w:tcPr>
            <w:tcW w:w="3063" w:type="dxa"/>
            <w:tcBorders>
              <w:bottom w:val="single" w:sz="4" w:space="0" w:color="auto"/>
            </w:tcBorders>
          </w:tcPr>
          <w:p w:rsidR="002E40FB" w:rsidRPr="002F7CBD" w:rsidRDefault="002F7CBD" w:rsidP="002F7CBD">
            <w:pPr>
              <w:pStyle w:val="Header"/>
              <w:rPr>
                <w:rFonts w:ascii="Calibri" w:hAnsi="Calibri" w:cs="Arial"/>
                <w:szCs w:val="22"/>
              </w:rPr>
            </w:pPr>
            <w:r w:rsidRPr="002F7CBD">
              <w:rPr>
                <w:rFonts w:ascii="Calibri" w:hAnsi="Calibri" w:cs="Arial"/>
                <w:sz w:val="22"/>
                <w:szCs w:val="22"/>
              </w:rPr>
              <w:t xml:space="preserve">Dr. Rick Vinney </w:t>
            </w:r>
          </w:p>
        </w:tc>
        <w:tc>
          <w:tcPr>
            <w:tcW w:w="1876" w:type="dxa"/>
            <w:tcBorders>
              <w:bottom w:val="single" w:sz="4" w:space="0" w:color="auto"/>
            </w:tcBorders>
          </w:tcPr>
          <w:p w:rsidR="002E40FB" w:rsidRPr="002F7CBD" w:rsidRDefault="002E40FB" w:rsidP="00FF146C">
            <w:pPr>
              <w:jc w:val="center"/>
              <w:rPr>
                <w:rFonts w:ascii="Calibri" w:hAnsi="Calibri" w:cs="Arial"/>
                <w:szCs w:val="22"/>
              </w:rPr>
            </w:pPr>
          </w:p>
        </w:tc>
        <w:tc>
          <w:tcPr>
            <w:tcW w:w="4467" w:type="dxa"/>
            <w:tcBorders>
              <w:bottom w:val="single" w:sz="4" w:space="0" w:color="auto"/>
            </w:tcBorders>
          </w:tcPr>
          <w:p w:rsidR="002E40FB" w:rsidRPr="002F7CBD" w:rsidRDefault="006A0399" w:rsidP="00FF146C">
            <w:pPr>
              <w:rPr>
                <w:szCs w:val="22"/>
              </w:rPr>
            </w:pPr>
            <w:hyperlink r:id="rId25" w:history="1">
              <w:r w:rsidR="002F7CBD" w:rsidRPr="002F7CBD">
                <w:rPr>
                  <w:rStyle w:val="Hyperlink"/>
                  <w:sz w:val="22"/>
                  <w:szCs w:val="22"/>
                </w:rPr>
                <w:t>Rick.Vinney@uhb.nhs.uk</w:t>
              </w:r>
            </w:hyperlink>
            <w:r w:rsidR="002F7CBD" w:rsidRPr="002F7CBD">
              <w:rPr>
                <w:sz w:val="22"/>
                <w:szCs w:val="22"/>
              </w:rPr>
              <w:t xml:space="preserve"> </w:t>
            </w:r>
          </w:p>
        </w:tc>
      </w:tr>
      <w:tr w:rsidR="002F7CBD" w:rsidRPr="00B47D6A" w:rsidTr="002F7CBD">
        <w:trPr>
          <w:trHeight w:val="553"/>
        </w:trPr>
        <w:tc>
          <w:tcPr>
            <w:tcW w:w="9406" w:type="dxa"/>
            <w:gridSpan w:val="3"/>
            <w:shd w:val="clear" w:color="auto" w:fill="DBE5F1" w:themeFill="accent1" w:themeFillTint="33"/>
          </w:tcPr>
          <w:p w:rsidR="002F7CBD" w:rsidRPr="002F7CBD" w:rsidRDefault="002F7CBD" w:rsidP="002F7CBD">
            <w:pPr>
              <w:jc w:val="center"/>
              <w:rPr>
                <w:b/>
                <w:szCs w:val="22"/>
              </w:rPr>
            </w:pPr>
            <w:r w:rsidRPr="002F7CBD">
              <w:rPr>
                <w:b/>
                <w:sz w:val="22"/>
                <w:szCs w:val="22"/>
              </w:rPr>
              <w:t>Sandwell and West Birmingham NHS Trust</w:t>
            </w:r>
          </w:p>
        </w:tc>
      </w:tr>
      <w:tr w:rsidR="002E40FB" w:rsidRPr="00B47D6A" w:rsidTr="002F7CBD">
        <w:trPr>
          <w:trHeight w:val="553"/>
        </w:trPr>
        <w:tc>
          <w:tcPr>
            <w:tcW w:w="3063" w:type="dxa"/>
          </w:tcPr>
          <w:p w:rsidR="002E40FB" w:rsidRPr="002F7CBD" w:rsidRDefault="002F7CBD" w:rsidP="00FF146C">
            <w:pPr>
              <w:pStyle w:val="Header"/>
              <w:rPr>
                <w:rFonts w:ascii="Calibri" w:hAnsi="Calibri" w:cs="Arial"/>
                <w:szCs w:val="22"/>
              </w:rPr>
            </w:pPr>
            <w:r w:rsidRPr="002F7CBD">
              <w:rPr>
                <w:rFonts w:ascii="Calibri" w:hAnsi="Calibri" w:cs="Arial"/>
                <w:sz w:val="22"/>
                <w:szCs w:val="22"/>
              </w:rPr>
              <w:t>Dr. Peter Ryan</w:t>
            </w:r>
          </w:p>
        </w:tc>
        <w:tc>
          <w:tcPr>
            <w:tcW w:w="1876" w:type="dxa"/>
          </w:tcPr>
          <w:p w:rsidR="002E40FB" w:rsidRPr="002F7CBD" w:rsidRDefault="002E40FB" w:rsidP="00FF146C">
            <w:pPr>
              <w:jc w:val="center"/>
              <w:rPr>
                <w:rFonts w:ascii="Calibri" w:hAnsi="Calibri" w:cs="Arial"/>
                <w:szCs w:val="22"/>
              </w:rPr>
            </w:pPr>
          </w:p>
        </w:tc>
        <w:tc>
          <w:tcPr>
            <w:tcW w:w="4467" w:type="dxa"/>
          </w:tcPr>
          <w:p w:rsidR="002E40FB" w:rsidRPr="002F7CBD" w:rsidRDefault="006A0399" w:rsidP="00FF146C">
            <w:pPr>
              <w:rPr>
                <w:szCs w:val="22"/>
              </w:rPr>
            </w:pPr>
            <w:hyperlink r:id="rId26" w:history="1">
              <w:r w:rsidR="002F7CBD" w:rsidRPr="002F7CBD">
                <w:rPr>
                  <w:rStyle w:val="Hyperlink"/>
                  <w:sz w:val="22"/>
                  <w:szCs w:val="22"/>
                </w:rPr>
                <w:t>Peter.ryan1@nhs.net</w:t>
              </w:r>
            </w:hyperlink>
            <w:r w:rsidR="002F7CBD" w:rsidRPr="002F7CBD">
              <w:rPr>
                <w:sz w:val="22"/>
                <w:szCs w:val="22"/>
              </w:rPr>
              <w:t xml:space="preserve"> </w:t>
            </w:r>
          </w:p>
        </w:tc>
      </w:tr>
    </w:tbl>
    <w:p w:rsidR="00FF146C" w:rsidRPr="000407B7" w:rsidRDefault="00FF146C" w:rsidP="000407B7">
      <w:pPr>
        <w:spacing w:after="0"/>
        <w:rPr>
          <w:rFonts w:cstheme="minorHAnsi"/>
          <w:sz w:val="22"/>
          <w:szCs w:val="22"/>
        </w:rPr>
      </w:pPr>
    </w:p>
    <w:sectPr w:rsidR="00FF146C" w:rsidRPr="000407B7" w:rsidSect="007133D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F08" w:rsidRDefault="00CB3F08" w:rsidP="000833EE">
      <w:pPr>
        <w:spacing w:after="0"/>
      </w:pPr>
      <w:r>
        <w:separator/>
      </w:r>
    </w:p>
  </w:endnote>
  <w:endnote w:type="continuationSeparator" w:id="0">
    <w:p w:rsidR="00CB3F08" w:rsidRDefault="00CB3F08" w:rsidP="000833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Light">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288" w:rsidRDefault="007872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08" w:rsidRPr="0065084C" w:rsidRDefault="00CB3F08" w:rsidP="00FF146C">
    <w:pPr>
      <w:pStyle w:val="Footer"/>
      <w:pBdr>
        <w:top w:val="single" w:sz="4" w:space="1" w:color="1F497D"/>
      </w:pBdr>
      <w:tabs>
        <w:tab w:val="clear" w:pos="4153"/>
        <w:tab w:val="clear" w:pos="8306"/>
        <w:tab w:val="right" w:pos="9026"/>
      </w:tabs>
      <w:rPr>
        <w:rFonts w:ascii="Calibri" w:hAnsi="Calibri" w:cs="Calibri"/>
        <w:sz w:val="18"/>
        <w:szCs w:val="18"/>
        <w:lang w:val="en-GB"/>
      </w:rPr>
    </w:pPr>
    <w:r w:rsidRPr="0065084C">
      <w:rPr>
        <w:rFonts w:ascii="Calibri" w:hAnsi="Calibri" w:cs="Calibri"/>
        <w:sz w:val="18"/>
        <w:szCs w:val="18"/>
      </w:rPr>
      <w:t>Service Specification for Management of Stable Prostate Cancer in Primary Care</w:t>
    </w:r>
  </w:p>
  <w:p w:rsidR="00CB3F08" w:rsidRPr="00816F26" w:rsidRDefault="00CB3F08" w:rsidP="00FF146C">
    <w:pPr>
      <w:pStyle w:val="Footer"/>
      <w:pBdr>
        <w:top w:val="single" w:sz="4" w:space="1" w:color="1F497D"/>
      </w:pBdr>
      <w:tabs>
        <w:tab w:val="clear" w:pos="4153"/>
        <w:tab w:val="clear" w:pos="8306"/>
        <w:tab w:val="right" w:pos="9026"/>
      </w:tabs>
      <w:rPr>
        <w:rFonts w:ascii="Arial" w:hAnsi="Arial" w:cs="Arial"/>
        <w:b/>
        <w:bCs/>
        <w:sz w:val="18"/>
        <w:szCs w:val="18"/>
      </w:rPr>
    </w:pPr>
    <w:r w:rsidRPr="0065084C">
      <w:rPr>
        <w:rFonts w:ascii="Calibri" w:hAnsi="Calibri" w:cs="Calibri"/>
        <w:sz w:val="18"/>
        <w:szCs w:val="18"/>
      </w:rPr>
      <w:t xml:space="preserve">Issue Date: </w:t>
    </w:r>
    <w:r>
      <w:rPr>
        <w:rFonts w:ascii="Calibri" w:hAnsi="Calibri" w:cs="Calibri"/>
        <w:sz w:val="18"/>
        <w:szCs w:val="18"/>
      </w:rPr>
      <w:t>March 2014</w:t>
    </w:r>
    <w:r>
      <w:rPr>
        <w:rFonts w:ascii="Calibri" w:hAnsi="Calibri" w:cs="Calibri"/>
        <w:sz w:val="18"/>
        <w:szCs w:val="18"/>
        <w:lang w:val="en-GB"/>
      </w:rPr>
      <w:tab/>
    </w:r>
    <w:r w:rsidRPr="00816F26">
      <w:rPr>
        <w:rFonts w:ascii="Calibri" w:hAnsi="Calibri" w:cs="Calibri"/>
        <w:sz w:val="18"/>
        <w:szCs w:val="18"/>
      </w:rPr>
      <w:t xml:space="preserve">Page </w:t>
    </w:r>
    <w:r w:rsidRPr="00816F26">
      <w:rPr>
        <w:rStyle w:val="PageNumber"/>
        <w:rFonts w:ascii="Calibri" w:hAnsi="Calibri" w:cs="Calibri"/>
        <w:sz w:val="18"/>
        <w:szCs w:val="18"/>
      </w:rPr>
      <w:fldChar w:fldCharType="begin"/>
    </w:r>
    <w:r w:rsidRPr="00816F26">
      <w:rPr>
        <w:rStyle w:val="PageNumber"/>
        <w:rFonts w:ascii="Calibri" w:hAnsi="Calibri" w:cs="Calibri"/>
        <w:sz w:val="18"/>
        <w:szCs w:val="18"/>
      </w:rPr>
      <w:instrText xml:space="preserve"> PAGE </w:instrText>
    </w:r>
    <w:r w:rsidRPr="00816F26">
      <w:rPr>
        <w:rStyle w:val="PageNumber"/>
        <w:rFonts w:ascii="Calibri" w:hAnsi="Calibri" w:cs="Calibri"/>
        <w:sz w:val="18"/>
        <w:szCs w:val="18"/>
      </w:rPr>
      <w:fldChar w:fldCharType="separate"/>
    </w:r>
    <w:r w:rsidR="006A0399">
      <w:rPr>
        <w:rStyle w:val="PageNumber"/>
        <w:rFonts w:ascii="Calibri" w:hAnsi="Calibri" w:cs="Calibri"/>
        <w:noProof/>
        <w:sz w:val="18"/>
        <w:szCs w:val="18"/>
      </w:rPr>
      <w:t>6</w:t>
    </w:r>
    <w:r w:rsidRPr="00816F26">
      <w:rPr>
        <w:rStyle w:val="PageNumber"/>
        <w:rFonts w:ascii="Calibri" w:hAnsi="Calibri" w:cs="Calibri"/>
        <w:sz w:val="18"/>
        <w:szCs w:val="18"/>
      </w:rPr>
      <w:fldChar w:fldCharType="end"/>
    </w:r>
    <w:r w:rsidRPr="00816F26">
      <w:rPr>
        <w:rStyle w:val="PageNumber"/>
        <w:rFonts w:ascii="Calibri" w:hAnsi="Calibri" w:cs="Calibri"/>
        <w:sz w:val="18"/>
        <w:szCs w:val="18"/>
      </w:rPr>
      <w:t xml:space="preserve"> of </w:t>
    </w:r>
    <w:r w:rsidRPr="00816F26">
      <w:rPr>
        <w:rStyle w:val="PageNumber"/>
        <w:rFonts w:ascii="Calibri" w:hAnsi="Calibri" w:cs="Calibri"/>
        <w:sz w:val="18"/>
        <w:szCs w:val="18"/>
      </w:rPr>
      <w:fldChar w:fldCharType="begin"/>
    </w:r>
    <w:r w:rsidRPr="00816F26">
      <w:rPr>
        <w:rStyle w:val="PageNumber"/>
        <w:rFonts w:ascii="Calibri" w:hAnsi="Calibri" w:cs="Calibri"/>
        <w:sz w:val="18"/>
        <w:szCs w:val="18"/>
      </w:rPr>
      <w:instrText xml:space="preserve"> NUMPAGES </w:instrText>
    </w:r>
    <w:r w:rsidRPr="00816F26">
      <w:rPr>
        <w:rStyle w:val="PageNumber"/>
        <w:rFonts w:ascii="Calibri" w:hAnsi="Calibri" w:cs="Calibri"/>
        <w:sz w:val="18"/>
        <w:szCs w:val="18"/>
      </w:rPr>
      <w:fldChar w:fldCharType="separate"/>
    </w:r>
    <w:r w:rsidR="006A0399">
      <w:rPr>
        <w:rStyle w:val="PageNumber"/>
        <w:rFonts w:ascii="Calibri" w:hAnsi="Calibri" w:cs="Calibri"/>
        <w:noProof/>
        <w:sz w:val="18"/>
        <w:szCs w:val="18"/>
      </w:rPr>
      <w:t>27</w:t>
    </w:r>
    <w:r w:rsidRPr="00816F26">
      <w:rPr>
        <w:rStyle w:val="PageNumber"/>
        <w:rFonts w:ascii="Calibri" w:hAnsi="Calibri" w:cs="Calibr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08" w:rsidRPr="005175C4" w:rsidRDefault="00CB3F08" w:rsidP="00FF146C">
    <w:pPr>
      <w:pStyle w:val="Footer"/>
      <w:pBdr>
        <w:top w:val="single" w:sz="4" w:space="1" w:color="1F497D"/>
      </w:pBdr>
      <w:tabs>
        <w:tab w:val="clear" w:pos="4153"/>
        <w:tab w:val="clear" w:pos="8306"/>
        <w:tab w:val="right" w:pos="9026"/>
      </w:tabs>
      <w:rPr>
        <w:rFonts w:ascii="Calibri" w:hAnsi="Calibri" w:cs="Calibri"/>
        <w:sz w:val="18"/>
        <w:szCs w:val="18"/>
        <w:lang w:val="en-GB"/>
      </w:rPr>
    </w:pPr>
    <w:r w:rsidRPr="005175C4">
      <w:rPr>
        <w:rFonts w:ascii="Calibri" w:hAnsi="Calibri" w:cs="Calibri"/>
        <w:sz w:val="18"/>
        <w:szCs w:val="18"/>
      </w:rPr>
      <w:t>Local Enhanced Service Specification for Management of Stable Prostate Cancer in Primary Care</w:t>
    </w:r>
  </w:p>
  <w:p w:rsidR="00CB3F08" w:rsidRDefault="00CB3F08" w:rsidP="00FF146C">
    <w:pPr>
      <w:pStyle w:val="Footer"/>
      <w:pBdr>
        <w:top w:val="single" w:sz="4" w:space="1" w:color="1F497D"/>
      </w:pBdr>
      <w:tabs>
        <w:tab w:val="clear" w:pos="4153"/>
        <w:tab w:val="clear" w:pos="8306"/>
        <w:tab w:val="right" w:pos="9026"/>
      </w:tabs>
    </w:pPr>
    <w:r w:rsidRPr="005175C4">
      <w:rPr>
        <w:rFonts w:ascii="Calibri" w:hAnsi="Calibri" w:cs="Calibri"/>
        <w:sz w:val="18"/>
        <w:szCs w:val="18"/>
      </w:rPr>
      <w:t xml:space="preserve">Issue Date: </w:t>
    </w:r>
    <w:r>
      <w:rPr>
        <w:rFonts w:ascii="Calibri" w:hAnsi="Calibri" w:cs="Calibri"/>
        <w:sz w:val="18"/>
        <w:szCs w:val="18"/>
      </w:rPr>
      <w:t>March 2014</w:t>
    </w:r>
    <w:r>
      <w:rPr>
        <w:rFonts w:ascii="Calibri" w:hAnsi="Calibri" w:cs="Calibri"/>
        <w:sz w:val="18"/>
        <w:szCs w:val="18"/>
        <w:lang w:val="en-GB"/>
      </w:rPr>
      <w:tab/>
    </w:r>
    <w:r w:rsidRPr="005175C4">
      <w:rPr>
        <w:rFonts w:ascii="Calibri" w:hAnsi="Calibri" w:cs="Calibri"/>
        <w:sz w:val="18"/>
        <w:szCs w:val="18"/>
      </w:rPr>
      <w:t xml:space="preserve">Page </w:t>
    </w:r>
    <w:r w:rsidRPr="005175C4">
      <w:rPr>
        <w:rStyle w:val="PageNumber"/>
        <w:rFonts w:ascii="Calibri" w:hAnsi="Calibri" w:cs="Calibri"/>
        <w:sz w:val="18"/>
        <w:szCs w:val="18"/>
      </w:rPr>
      <w:fldChar w:fldCharType="begin"/>
    </w:r>
    <w:r w:rsidRPr="005175C4">
      <w:rPr>
        <w:rStyle w:val="PageNumber"/>
        <w:rFonts w:ascii="Calibri" w:hAnsi="Calibri" w:cs="Calibri"/>
        <w:sz w:val="18"/>
        <w:szCs w:val="18"/>
      </w:rPr>
      <w:instrText xml:space="preserve"> PAGE </w:instrText>
    </w:r>
    <w:r w:rsidRPr="005175C4">
      <w:rPr>
        <w:rStyle w:val="PageNumber"/>
        <w:rFonts w:ascii="Calibri" w:hAnsi="Calibri" w:cs="Calibri"/>
        <w:sz w:val="18"/>
        <w:szCs w:val="18"/>
      </w:rPr>
      <w:fldChar w:fldCharType="separate"/>
    </w:r>
    <w:r w:rsidR="006A0399">
      <w:rPr>
        <w:rStyle w:val="PageNumber"/>
        <w:rFonts w:ascii="Calibri" w:hAnsi="Calibri" w:cs="Calibri"/>
        <w:noProof/>
        <w:sz w:val="18"/>
        <w:szCs w:val="18"/>
      </w:rPr>
      <w:t>7</w:t>
    </w:r>
    <w:r w:rsidRPr="005175C4">
      <w:rPr>
        <w:rStyle w:val="PageNumber"/>
        <w:rFonts w:ascii="Calibri" w:hAnsi="Calibri" w:cs="Calibri"/>
        <w:sz w:val="18"/>
        <w:szCs w:val="18"/>
      </w:rPr>
      <w:fldChar w:fldCharType="end"/>
    </w:r>
    <w:r w:rsidRPr="005175C4">
      <w:rPr>
        <w:rStyle w:val="PageNumber"/>
        <w:rFonts w:ascii="Calibri" w:hAnsi="Calibri" w:cs="Calibri"/>
        <w:sz w:val="18"/>
        <w:szCs w:val="18"/>
      </w:rPr>
      <w:t xml:space="preserve"> of </w:t>
    </w:r>
    <w:r w:rsidRPr="005175C4">
      <w:rPr>
        <w:rStyle w:val="PageNumber"/>
        <w:rFonts w:ascii="Calibri" w:hAnsi="Calibri" w:cs="Calibri"/>
        <w:sz w:val="18"/>
        <w:szCs w:val="18"/>
      </w:rPr>
      <w:fldChar w:fldCharType="begin"/>
    </w:r>
    <w:r w:rsidRPr="005175C4">
      <w:rPr>
        <w:rStyle w:val="PageNumber"/>
        <w:rFonts w:ascii="Calibri" w:hAnsi="Calibri" w:cs="Calibri"/>
        <w:sz w:val="18"/>
        <w:szCs w:val="18"/>
      </w:rPr>
      <w:instrText xml:space="preserve"> NUMPAGES </w:instrText>
    </w:r>
    <w:r w:rsidRPr="005175C4">
      <w:rPr>
        <w:rStyle w:val="PageNumber"/>
        <w:rFonts w:ascii="Calibri" w:hAnsi="Calibri" w:cs="Calibri"/>
        <w:sz w:val="18"/>
        <w:szCs w:val="18"/>
      </w:rPr>
      <w:fldChar w:fldCharType="separate"/>
    </w:r>
    <w:r w:rsidR="006A0399">
      <w:rPr>
        <w:rStyle w:val="PageNumber"/>
        <w:rFonts w:ascii="Calibri" w:hAnsi="Calibri" w:cs="Calibri"/>
        <w:noProof/>
        <w:sz w:val="18"/>
        <w:szCs w:val="18"/>
      </w:rPr>
      <w:t>27</w:t>
    </w:r>
    <w:r w:rsidRPr="005175C4">
      <w:rPr>
        <w:rStyle w:val="PageNumber"/>
        <w:rFonts w:ascii="Calibri" w:hAnsi="Calibri" w:cs="Calibr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F08" w:rsidRDefault="00CB3F08" w:rsidP="000833EE">
      <w:pPr>
        <w:spacing w:after="0"/>
      </w:pPr>
      <w:r>
        <w:separator/>
      </w:r>
    </w:p>
  </w:footnote>
  <w:footnote w:type="continuationSeparator" w:id="0">
    <w:p w:rsidR="00CB3F08" w:rsidRDefault="00CB3F08" w:rsidP="000833EE">
      <w:pPr>
        <w:spacing w:after="0"/>
      </w:pPr>
      <w:r>
        <w:continuationSeparator/>
      </w:r>
    </w:p>
  </w:footnote>
  <w:footnote w:id="1">
    <w:p w:rsidR="00CB3F08" w:rsidRPr="00EB5077" w:rsidRDefault="00CB3F08" w:rsidP="000833EE">
      <w:pPr>
        <w:rPr>
          <w:rFonts w:ascii="Calibri" w:hAnsi="Calibri" w:cs="Calibri"/>
          <w:b/>
          <w:sz w:val="18"/>
        </w:rPr>
      </w:pPr>
      <w:r w:rsidRPr="001A3E62">
        <w:rPr>
          <w:rStyle w:val="FootnoteReference"/>
          <w:sz w:val="18"/>
        </w:rPr>
        <w:footnoteRef/>
      </w:r>
      <w:r w:rsidRPr="001A3E62">
        <w:rPr>
          <w:sz w:val="18"/>
        </w:rPr>
        <w:t xml:space="preserve"> </w:t>
      </w:r>
      <w:r w:rsidRPr="001A3E62">
        <w:rPr>
          <w:rFonts w:ascii="Calibri" w:hAnsi="Calibri" w:cs="Calibri"/>
          <w:sz w:val="18"/>
        </w:rPr>
        <w:t xml:space="preserve">* - </w:t>
      </w:r>
      <w:r w:rsidRPr="00EB5077">
        <w:rPr>
          <w:rFonts w:ascii="Calibri" w:hAnsi="Calibri" w:cs="Calibri"/>
          <w:b/>
          <w:sz w:val="18"/>
        </w:rPr>
        <w:t xml:space="preserve">Watchful waiting -Adapted from NICE Guidance 2014 </w:t>
      </w:r>
    </w:p>
    <w:p w:rsidR="00CB3F08" w:rsidRPr="001A3E62" w:rsidRDefault="00CB3F08" w:rsidP="000833EE">
      <w:pPr>
        <w:rPr>
          <w:rFonts w:ascii="Calibri" w:hAnsi="Calibri" w:cs="Calibri"/>
          <w:sz w:val="18"/>
        </w:rPr>
      </w:pPr>
      <w:r w:rsidRPr="001A3E62">
        <w:rPr>
          <w:rFonts w:ascii="Calibri" w:hAnsi="Calibri" w:cs="Calibri"/>
          <w:sz w:val="18"/>
        </w:rPr>
        <w:t>Watchful waiting involves the conscious decision to avoid treatment unless symptoms of progressive disease develop. Those men who do develop symptoms of progressive disease are usually managed with hormonal therapy.  This approach is most often offered to older men, or those with significant co-morbidities who are thought unlikely to have significant cancer progression during their likely natural life span.</w:t>
      </w:r>
    </w:p>
    <w:p w:rsidR="00CB3F08" w:rsidRPr="001A3E62" w:rsidRDefault="00CB3F08" w:rsidP="000833EE">
      <w:pPr>
        <w:jc w:val="both"/>
        <w:rPr>
          <w:rFonts w:ascii="Calibri" w:hAnsi="Calibri" w:cs="Calibri"/>
          <w:i/>
          <w:sz w:val="18"/>
        </w:rPr>
      </w:pPr>
      <w:r w:rsidRPr="001A3E62">
        <w:rPr>
          <w:rFonts w:ascii="Calibri" w:hAnsi="Calibri" w:cs="Calibri"/>
          <w:i/>
          <w:sz w:val="18"/>
        </w:rPr>
        <w:t>Men with prostate cancer who have been identified by a urologist suitable for watchful waiting regimen with no curative intent should normally be followed up in Primary Care in accordance with protocols agreed by the local urological cancer MDT and the relevant Primary Care organisation(s).  Their PSA should be measured at least once a year. ( NICE 2008)</w:t>
      </w:r>
    </w:p>
    <w:p w:rsidR="00CB3F08" w:rsidRPr="001A3E62" w:rsidRDefault="00CB3F08" w:rsidP="000833EE">
      <w:pPr>
        <w:pStyle w:val="FootnoteText"/>
        <w:rPr>
          <w:lang w:val="en-GB"/>
        </w:rPr>
      </w:pPr>
    </w:p>
  </w:footnote>
  <w:footnote w:id="2">
    <w:p w:rsidR="00CB3F08" w:rsidRPr="001A3E62" w:rsidRDefault="00CB3F08" w:rsidP="000833EE">
      <w:pPr>
        <w:rPr>
          <w:rFonts w:ascii="Calibri" w:hAnsi="Calibri" w:cs="Calibri"/>
          <w:b/>
          <w:sz w:val="18"/>
        </w:rPr>
      </w:pPr>
      <w:r w:rsidRPr="001A3E62">
        <w:rPr>
          <w:rStyle w:val="FootnoteReference"/>
          <w:sz w:val="18"/>
        </w:rPr>
        <w:footnoteRef/>
      </w:r>
      <w:r w:rsidRPr="001A3E62">
        <w:rPr>
          <w:sz w:val="18"/>
        </w:rPr>
        <w:t xml:space="preserve"> </w:t>
      </w:r>
      <w:r w:rsidRPr="00EB5077">
        <w:rPr>
          <w:rFonts w:ascii="Calibri" w:hAnsi="Calibri" w:cs="Calibri"/>
          <w:b/>
          <w:sz w:val="18"/>
        </w:rPr>
        <w:t>Active Monitoring /Surveillance - Adapted from NICE Guidance 2014</w:t>
      </w:r>
      <w:r>
        <w:rPr>
          <w:rFonts w:ascii="Calibri" w:hAnsi="Calibri" w:cs="Calibri"/>
          <w:b/>
          <w:sz w:val="18"/>
        </w:rPr>
        <w:t xml:space="preserve"> </w:t>
      </w:r>
    </w:p>
    <w:p w:rsidR="00CB3F08" w:rsidRPr="001A3E62" w:rsidRDefault="00CB3F08" w:rsidP="000833EE">
      <w:pPr>
        <w:rPr>
          <w:rFonts w:ascii="Calibri" w:hAnsi="Calibri" w:cs="Calibri"/>
          <w:b/>
          <w:sz w:val="18"/>
        </w:rPr>
      </w:pPr>
      <w:r w:rsidRPr="001A3E62">
        <w:rPr>
          <w:rFonts w:ascii="Calibri" w:hAnsi="Calibri" w:cs="Calibri"/>
          <w:b/>
          <w:sz w:val="18"/>
        </w:rPr>
        <w:t>Discharge at the discretion of the local urological cancer MDT</w:t>
      </w:r>
    </w:p>
    <w:p w:rsidR="00CB3F08" w:rsidRPr="001A3E62" w:rsidRDefault="00CB3F08" w:rsidP="000833EE">
      <w:pPr>
        <w:rPr>
          <w:rFonts w:ascii="Calibri" w:eastAsia="Arial Unicode MS" w:hAnsi="Calibri" w:cs="Calibri"/>
          <w:sz w:val="18"/>
        </w:rPr>
      </w:pPr>
      <w:r w:rsidRPr="001A3E62">
        <w:rPr>
          <w:rFonts w:ascii="Calibri" w:hAnsi="Calibri" w:cs="Calibri"/>
          <w:sz w:val="18"/>
        </w:rPr>
        <w:t>The objective of active surveillance is to avoid unnecessary treatment of men with indolent cancers, by only treating those whose cancers show early signs of progression. Whereas traditional watchful waiting in elderly or infirm men aims to avoid any treatment at all for as long as possible and excludes radical treatment options, active surveillance of younger, fitter men tries to target curative treatment on those likely to benefit. Active surveillance enables the risk category to be re-assessed at regular intervals by serial PSA estimations, and trans-rectal ultrasound (TRUS) guided prostate biopsy. Active surveillance is an option for men with low-risk disease who are fit for radical treatment in the event of disease progression</w:t>
      </w:r>
      <w:r w:rsidRPr="001A3E62">
        <w:rPr>
          <w:rFonts w:ascii="Calibri" w:eastAsia="Arial Unicode MS" w:hAnsi="Calibri" w:cs="Calibri"/>
          <w:i/>
          <w:sz w:val="18"/>
        </w:rPr>
        <w:t>.</w:t>
      </w:r>
    </w:p>
    <w:p w:rsidR="00CB3F08" w:rsidRPr="004E3411" w:rsidRDefault="00CB3F08" w:rsidP="004E3411">
      <w:pPr>
        <w:autoSpaceDE w:val="0"/>
        <w:autoSpaceDN w:val="0"/>
        <w:adjustRightInd w:val="0"/>
        <w:spacing w:after="0"/>
        <w:rPr>
          <w:rFonts w:eastAsiaTheme="minorHAnsi" w:cstheme="minorHAnsi"/>
          <w:color w:val="000000"/>
          <w:sz w:val="18"/>
          <w:szCs w:val="18"/>
          <w:lang w:val="en-GB" w:eastAsia="en-US"/>
        </w:rPr>
      </w:pPr>
      <w:r w:rsidRPr="004E3411">
        <w:rPr>
          <w:rFonts w:eastAsiaTheme="minorHAnsi" w:cstheme="minorHAnsi"/>
          <w:color w:val="000000"/>
          <w:sz w:val="18"/>
          <w:szCs w:val="18"/>
          <w:lang w:val="en-GB" w:eastAsia="en-US"/>
        </w:rPr>
        <w:t xml:space="preserve">Consider active surveillance (in line with table 2 in CG 175 –protocol for active surveillance) for men with intermediate-risk localised prostate cancer who do not wish to have immediate radical prostatectomy or radical radiotherapy. </w:t>
      </w:r>
    </w:p>
    <w:p w:rsidR="00CB3F08" w:rsidRPr="001A3E62" w:rsidRDefault="00CB3F08" w:rsidP="000833EE">
      <w:pPr>
        <w:pStyle w:val="FootnoteText"/>
        <w:rPr>
          <w:lang w:val="en-GB"/>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288" w:rsidRDefault="007872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08" w:rsidRDefault="00CB3F08" w:rsidP="00FF146C">
    <w:pPr>
      <w:pStyle w:val="Header"/>
      <w:rPr>
        <w:rFonts w:ascii="Calibri" w:hAnsi="Calibri" w:cs="Calibri"/>
        <w:sz w:val="20"/>
        <w:szCs w:val="20"/>
        <w:lang w:val="en-GB"/>
      </w:rPr>
    </w:pPr>
  </w:p>
  <w:p w:rsidR="00CB3F08" w:rsidRPr="00936D79" w:rsidRDefault="00CB3F08" w:rsidP="00FF146C">
    <w:pPr>
      <w:pStyle w:val="Header"/>
      <w:pBdr>
        <w:bottom w:val="single" w:sz="4" w:space="1" w:color="auto"/>
      </w:pBdr>
    </w:pPr>
    <w:r w:rsidRPr="00936D79">
      <w:rPr>
        <w:rFonts w:ascii="Calibri" w:hAnsi="Calibri" w:cs="Calibri"/>
        <w:sz w:val="20"/>
        <w:szCs w:val="20"/>
      </w:rPr>
      <w:t>Stable Prostate Management in Primary Care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08" w:rsidRPr="0065084C" w:rsidRDefault="00CB3F08" w:rsidP="00FF146C">
    <w:pPr>
      <w:tabs>
        <w:tab w:val="right" w:pos="8640"/>
      </w:tabs>
      <w:rPr>
        <w:rFonts w:ascii="Calibri" w:hAnsi="Calibri" w:cs="Calibri"/>
        <w:b/>
        <w:sz w:val="32"/>
        <w:szCs w:val="32"/>
      </w:rPr>
    </w:pPr>
    <w:r>
      <w:rPr>
        <w:rFonts w:ascii="Calibri" w:hAnsi="Calibri" w:cs="Calibri"/>
        <w:b/>
        <w:noProof/>
        <w:sz w:val="32"/>
        <w:szCs w:val="32"/>
        <w:lang w:eastAsia="en-G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647"/>
    <w:multiLevelType w:val="hybridMultilevel"/>
    <w:tmpl w:val="600409A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nsid w:val="03940739"/>
    <w:multiLevelType w:val="hybridMultilevel"/>
    <w:tmpl w:val="692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D9A7457"/>
    <w:multiLevelType w:val="singleLevel"/>
    <w:tmpl w:val="20DE4446"/>
    <w:lvl w:ilvl="0">
      <w:start w:val="1"/>
      <w:numFmt w:val="decimal"/>
      <w:lvlText w:val="%1"/>
      <w:lvlJc w:val="left"/>
      <w:pPr>
        <w:tabs>
          <w:tab w:val="num" w:pos="360"/>
        </w:tabs>
        <w:ind w:left="340" w:hanging="340"/>
      </w:pPr>
      <w:rPr>
        <w:b w:val="0"/>
        <w:i w:val="0"/>
      </w:rPr>
    </w:lvl>
  </w:abstractNum>
  <w:abstractNum w:abstractNumId="3">
    <w:nsid w:val="122843DC"/>
    <w:multiLevelType w:val="hybridMultilevel"/>
    <w:tmpl w:val="21DE9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404458"/>
    <w:multiLevelType w:val="hybridMultilevel"/>
    <w:tmpl w:val="BC16241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55E74E5"/>
    <w:multiLevelType w:val="hybridMultilevel"/>
    <w:tmpl w:val="117C29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35654BD"/>
    <w:multiLevelType w:val="hybridMultilevel"/>
    <w:tmpl w:val="4E7C7C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3DD03E8"/>
    <w:multiLevelType w:val="hybridMultilevel"/>
    <w:tmpl w:val="FB4632E6"/>
    <w:lvl w:ilvl="0" w:tplc="DE32BDFE">
      <w:start w:val="1"/>
      <w:numFmt w:val="decimal"/>
      <w:lvlText w:val="%1"/>
      <w:lvlJc w:val="left"/>
      <w:pPr>
        <w:ind w:left="720" w:hanging="360"/>
      </w:pPr>
      <w:rPr>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40F7CB7"/>
    <w:multiLevelType w:val="hybridMultilevel"/>
    <w:tmpl w:val="B48E3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585199A"/>
    <w:multiLevelType w:val="hybridMultilevel"/>
    <w:tmpl w:val="315291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8A34163"/>
    <w:multiLevelType w:val="hybridMultilevel"/>
    <w:tmpl w:val="5192B56A"/>
    <w:lvl w:ilvl="0" w:tplc="DE32BDFE">
      <w:start w:val="1"/>
      <w:numFmt w:val="decimal"/>
      <w:lvlText w:val="%1"/>
      <w:lvlJc w:val="left"/>
      <w:pPr>
        <w:ind w:left="720" w:hanging="360"/>
      </w:pPr>
      <w:rPr>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D6D6FA3"/>
    <w:multiLevelType w:val="singleLevel"/>
    <w:tmpl w:val="DE32BDFE"/>
    <w:lvl w:ilvl="0">
      <w:start w:val="1"/>
      <w:numFmt w:val="decimal"/>
      <w:lvlText w:val="%1"/>
      <w:lvlJc w:val="left"/>
      <w:pPr>
        <w:tabs>
          <w:tab w:val="num" w:pos="360"/>
        </w:tabs>
        <w:ind w:left="340" w:hanging="340"/>
      </w:pPr>
      <w:rPr>
        <w:b w:val="0"/>
        <w:i w:val="0"/>
      </w:rPr>
    </w:lvl>
  </w:abstractNum>
  <w:abstractNum w:abstractNumId="12">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07C4AC5"/>
    <w:multiLevelType w:val="hybridMultilevel"/>
    <w:tmpl w:val="7EF4C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A15F3E"/>
    <w:multiLevelType w:val="hybridMultilevel"/>
    <w:tmpl w:val="204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7C23D94"/>
    <w:multiLevelType w:val="hybridMultilevel"/>
    <w:tmpl w:val="461C107C"/>
    <w:lvl w:ilvl="0" w:tplc="110C61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110C6142">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B782A11"/>
    <w:multiLevelType w:val="hybridMultilevel"/>
    <w:tmpl w:val="F96E81A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C3F6AC3"/>
    <w:multiLevelType w:val="hybridMultilevel"/>
    <w:tmpl w:val="F3D86EE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3F0D192F"/>
    <w:multiLevelType w:val="hybridMultilevel"/>
    <w:tmpl w:val="2CC0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F220AA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nsid w:val="568B6C2F"/>
    <w:multiLevelType w:val="singleLevel"/>
    <w:tmpl w:val="20DE4446"/>
    <w:lvl w:ilvl="0">
      <w:start w:val="1"/>
      <w:numFmt w:val="decimal"/>
      <w:lvlText w:val="%1"/>
      <w:lvlJc w:val="left"/>
      <w:pPr>
        <w:tabs>
          <w:tab w:val="num" w:pos="360"/>
        </w:tabs>
        <w:ind w:left="340" w:hanging="340"/>
      </w:pPr>
      <w:rPr>
        <w:b w:val="0"/>
        <w:i w:val="0"/>
      </w:rPr>
    </w:lvl>
  </w:abstractNum>
  <w:abstractNum w:abstractNumId="21">
    <w:nsid w:val="5B243FAE"/>
    <w:multiLevelType w:val="hybridMultilevel"/>
    <w:tmpl w:val="6B36595C"/>
    <w:lvl w:ilvl="0" w:tplc="DE32BDFE">
      <w:start w:val="1"/>
      <w:numFmt w:val="decimal"/>
      <w:lvlText w:val="%1"/>
      <w:lvlJc w:val="left"/>
      <w:pPr>
        <w:ind w:left="720" w:hanging="360"/>
      </w:pPr>
      <w:rPr>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1F24370"/>
    <w:multiLevelType w:val="hybridMultilevel"/>
    <w:tmpl w:val="E570AF40"/>
    <w:lvl w:ilvl="0" w:tplc="DE32BDFE">
      <w:start w:val="1"/>
      <w:numFmt w:val="decimal"/>
      <w:lvlText w:val="%1"/>
      <w:lvlJc w:val="left"/>
      <w:pPr>
        <w:ind w:left="720" w:hanging="360"/>
      </w:pPr>
      <w:rPr>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7C87C63"/>
    <w:multiLevelType w:val="hybridMultilevel"/>
    <w:tmpl w:val="5A9217EC"/>
    <w:lvl w:ilvl="0" w:tplc="FA589AF2">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B507DC2"/>
    <w:multiLevelType w:val="hybridMultilevel"/>
    <w:tmpl w:val="A6B4E16E"/>
    <w:lvl w:ilvl="0" w:tplc="DE32BDFE">
      <w:start w:val="1"/>
      <w:numFmt w:val="decimal"/>
      <w:lvlText w:val="%1"/>
      <w:lvlJc w:val="left"/>
      <w:pPr>
        <w:ind w:left="720" w:hanging="360"/>
      </w:pPr>
      <w:rPr>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2"/>
  </w:num>
  <w:num w:numId="3">
    <w:abstractNumId w:val="23"/>
  </w:num>
  <w:num w:numId="4">
    <w:abstractNumId w:val="6"/>
  </w:num>
  <w:num w:numId="5">
    <w:abstractNumId w:val="17"/>
  </w:num>
  <w:num w:numId="6">
    <w:abstractNumId w:val="15"/>
  </w:num>
  <w:num w:numId="7">
    <w:abstractNumId w:val="0"/>
  </w:num>
  <w:num w:numId="8">
    <w:abstractNumId w:val="13"/>
  </w:num>
  <w:num w:numId="9">
    <w:abstractNumId w:val="7"/>
  </w:num>
  <w:num w:numId="10">
    <w:abstractNumId w:val="21"/>
  </w:num>
  <w:num w:numId="11">
    <w:abstractNumId w:val="25"/>
  </w:num>
  <w:num w:numId="12">
    <w:abstractNumId w:val="5"/>
  </w:num>
  <w:num w:numId="13">
    <w:abstractNumId w:val="3"/>
  </w:num>
  <w:num w:numId="14">
    <w:abstractNumId w:val="11"/>
  </w:num>
  <w:num w:numId="15">
    <w:abstractNumId w:val="20"/>
  </w:num>
  <w:num w:numId="16">
    <w:abstractNumId w:val="2"/>
  </w:num>
  <w:num w:numId="17">
    <w:abstractNumId w:val="19"/>
  </w:num>
  <w:num w:numId="18">
    <w:abstractNumId w:val="22"/>
  </w:num>
  <w:num w:numId="19">
    <w:abstractNumId w:val="10"/>
  </w:num>
  <w:num w:numId="20">
    <w:abstractNumId w:val="24"/>
  </w:num>
  <w:num w:numId="21">
    <w:abstractNumId w:val="16"/>
  </w:num>
  <w:num w:numId="22">
    <w:abstractNumId w:val="8"/>
  </w:num>
  <w:num w:numId="23">
    <w:abstractNumId w:val="1"/>
  </w:num>
  <w:num w:numId="24">
    <w:abstractNumId w:val="18"/>
  </w:num>
  <w:num w:numId="25">
    <w:abstractNumId w:val="14"/>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4100"/>
  </w:hdrShapeDefaults>
  <w:footnotePr>
    <w:footnote w:id="-1"/>
    <w:footnote w:id="0"/>
  </w:footnotePr>
  <w:endnotePr>
    <w:endnote w:id="-1"/>
    <w:endnote w:id="0"/>
  </w:endnotePr>
  <w:compat>
    <w:compatSetting w:name="compatibilityMode" w:uri="http://schemas.microsoft.com/office/word" w:val="12"/>
  </w:compat>
  <w:rsids>
    <w:rsidRoot w:val="00304CBD"/>
    <w:rsid w:val="00020713"/>
    <w:rsid w:val="00025210"/>
    <w:rsid w:val="000407B7"/>
    <w:rsid w:val="000833EE"/>
    <w:rsid w:val="00096D14"/>
    <w:rsid w:val="000C66D7"/>
    <w:rsid w:val="001120D7"/>
    <w:rsid w:val="001F754B"/>
    <w:rsid w:val="001F7E3A"/>
    <w:rsid w:val="00282CE5"/>
    <w:rsid w:val="002D63C4"/>
    <w:rsid w:val="002E40FB"/>
    <w:rsid w:val="002F7CBD"/>
    <w:rsid w:val="00304CBD"/>
    <w:rsid w:val="003235F5"/>
    <w:rsid w:val="00342CC2"/>
    <w:rsid w:val="00414586"/>
    <w:rsid w:val="00421467"/>
    <w:rsid w:val="004978C8"/>
    <w:rsid w:val="004A38E7"/>
    <w:rsid w:val="004E3411"/>
    <w:rsid w:val="004E4102"/>
    <w:rsid w:val="00552584"/>
    <w:rsid w:val="005D2ACC"/>
    <w:rsid w:val="006A0399"/>
    <w:rsid w:val="006E18FD"/>
    <w:rsid w:val="007023BD"/>
    <w:rsid w:val="00712302"/>
    <w:rsid w:val="007133DF"/>
    <w:rsid w:val="007477E0"/>
    <w:rsid w:val="00776CC4"/>
    <w:rsid w:val="00787288"/>
    <w:rsid w:val="007C30B0"/>
    <w:rsid w:val="007E2277"/>
    <w:rsid w:val="008801A9"/>
    <w:rsid w:val="00920F53"/>
    <w:rsid w:val="00932BBE"/>
    <w:rsid w:val="009871D3"/>
    <w:rsid w:val="00987EF2"/>
    <w:rsid w:val="009D5773"/>
    <w:rsid w:val="00A02D0D"/>
    <w:rsid w:val="00A16B79"/>
    <w:rsid w:val="00A47E12"/>
    <w:rsid w:val="00A81FD3"/>
    <w:rsid w:val="00B23C07"/>
    <w:rsid w:val="00BA5D6F"/>
    <w:rsid w:val="00C737ED"/>
    <w:rsid w:val="00C80D58"/>
    <w:rsid w:val="00CB306F"/>
    <w:rsid w:val="00CB3F08"/>
    <w:rsid w:val="00CC4243"/>
    <w:rsid w:val="00D81B3F"/>
    <w:rsid w:val="00DB555F"/>
    <w:rsid w:val="00EA2423"/>
    <w:rsid w:val="00EA745D"/>
    <w:rsid w:val="00EB5077"/>
    <w:rsid w:val="00F5017C"/>
    <w:rsid w:val="00FF1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41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CBD"/>
    <w:pPr>
      <w:spacing w:line="240" w:lineRule="auto"/>
    </w:pPr>
    <w:rPr>
      <w:rFonts w:eastAsiaTheme="minorEastAsia"/>
      <w:sz w:val="24"/>
      <w:szCs w:val="20"/>
      <w:lang w:val="en-US" w:eastAsia="ja-JP"/>
    </w:rPr>
  </w:style>
  <w:style w:type="paragraph" w:styleId="Heading1">
    <w:name w:val="heading 1"/>
    <w:basedOn w:val="Normal"/>
    <w:next w:val="Normal"/>
    <w:link w:val="Heading1Char"/>
    <w:uiPriority w:val="9"/>
    <w:qFormat/>
    <w:rsid w:val="00304CBD"/>
    <w:pPr>
      <w:spacing w:after="0" w:line="660" w:lineRule="exact"/>
      <w:outlineLvl w:val="0"/>
    </w:pPr>
    <w:rPr>
      <w:rFonts w:ascii="Arial" w:hAnsi="Arial" w:cs="Arial"/>
      <w:b/>
      <w:sz w:val="28"/>
      <w:szCs w:val="28"/>
      <w:lang w:val="en-GB" w:eastAsia="en-US"/>
    </w:rPr>
  </w:style>
  <w:style w:type="paragraph" w:styleId="Heading3">
    <w:name w:val="heading 3"/>
    <w:basedOn w:val="Normal"/>
    <w:next w:val="Normal"/>
    <w:link w:val="Heading3Char"/>
    <w:uiPriority w:val="9"/>
    <w:semiHidden/>
    <w:unhideWhenUsed/>
    <w:qFormat/>
    <w:rsid w:val="007C30B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407B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qFormat/>
    <w:rsid w:val="00282CE5"/>
    <w:pPr>
      <w:spacing w:before="240" w:after="60"/>
      <w:outlineLvl w:val="6"/>
    </w:pPr>
    <w:rPr>
      <w:rFonts w:ascii="Times New Roman" w:eastAsia="Times New Roman" w:hAnsi="Times New Roman" w:cs="Times New Roman"/>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CBD"/>
    <w:rPr>
      <w:rFonts w:ascii="Arial" w:eastAsiaTheme="minorEastAsia" w:hAnsi="Arial" w:cs="Arial"/>
      <w:b/>
      <w:sz w:val="28"/>
      <w:szCs w:val="28"/>
    </w:rPr>
  </w:style>
  <w:style w:type="table" w:styleId="TableGrid">
    <w:name w:val="Table Grid"/>
    <w:basedOn w:val="TableNormal"/>
    <w:uiPriority w:val="59"/>
    <w:rsid w:val="00304CBD"/>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304CBD"/>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rsid w:val="00712302"/>
    <w:pPr>
      <w:tabs>
        <w:tab w:val="center" w:pos="4153"/>
        <w:tab w:val="right" w:pos="8306"/>
      </w:tabs>
      <w:spacing w:after="0"/>
    </w:pPr>
    <w:rPr>
      <w:rFonts w:ascii="Times New Roman" w:eastAsia="Times New Roman" w:hAnsi="Times New Roman" w:cs="Times New Roman"/>
      <w:szCs w:val="24"/>
      <w:lang w:eastAsia="en-US"/>
    </w:rPr>
  </w:style>
  <w:style w:type="character" w:customStyle="1" w:styleId="HeaderChar">
    <w:name w:val="Header Char"/>
    <w:basedOn w:val="DefaultParagraphFont"/>
    <w:link w:val="Header"/>
    <w:uiPriority w:val="99"/>
    <w:rsid w:val="00712302"/>
    <w:rPr>
      <w:rFonts w:ascii="Times New Roman" w:eastAsia="Times New Roman" w:hAnsi="Times New Roman" w:cs="Times New Roman"/>
      <w:sz w:val="24"/>
      <w:szCs w:val="24"/>
    </w:rPr>
  </w:style>
  <w:style w:type="paragraph" w:styleId="Footer">
    <w:name w:val="footer"/>
    <w:basedOn w:val="Normal"/>
    <w:link w:val="FooterChar"/>
    <w:rsid w:val="00712302"/>
    <w:pPr>
      <w:tabs>
        <w:tab w:val="center" w:pos="4153"/>
        <w:tab w:val="right" w:pos="8306"/>
      </w:tabs>
      <w:spacing w:after="0"/>
    </w:pPr>
    <w:rPr>
      <w:rFonts w:ascii="Times New Roman" w:eastAsia="Times New Roman" w:hAnsi="Times New Roman" w:cs="Times New Roman"/>
      <w:szCs w:val="24"/>
      <w:lang w:eastAsia="en-US"/>
    </w:rPr>
  </w:style>
  <w:style w:type="character" w:customStyle="1" w:styleId="FooterChar">
    <w:name w:val="Footer Char"/>
    <w:basedOn w:val="DefaultParagraphFont"/>
    <w:link w:val="Footer"/>
    <w:rsid w:val="00712302"/>
    <w:rPr>
      <w:rFonts w:ascii="Times New Roman" w:eastAsia="Times New Roman" w:hAnsi="Times New Roman" w:cs="Times New Roman"/>
      <w:sz w:val="24"/>
      <w:szCs w:val="24"/>
    </w:rPr>
  </w:style>
  <w:style w:type="character" w:styleId="PageNumber">
    <w:name w:val="page number"/>
    <w:basedOn w:val="DefaultParagraphFont"/>
    <w:rsid w:val="00712302"/>
  </w:style>
  <w:style w:type="paragraph" w:styleId="BalloonText">
    <w:name w:val="Balloon Text"/>
    <w:basedOn w:val="Normal"/>
    <w:link w:val="BalloonTextChar"/>
    <w:uiPriority w:val="99"/>
    <w:semiHidden/>
    <w:unhideWhenUsed/>
    <w:rsid w:val="0071230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302"/>
    <w:rPr>
      <w:rFonts w:ascii="Tahoma" w:eastAsiaTheme="minorEastAsia" w:hAnsi="Tahoma" w:cs="Tahoma"/>
      <w:sz w:val="16"/>
      <w:szCs w:val="16"/>
      <w:lang w:val="en-US" w:eastAsia="ja-JP"/>
    </w:rPr>
  </w:style>
  <w:style w:type="paragraph" w:customStyle="1" w:styleId="mtrachead3">
    <w:name w:val="mtrac head 3"/>
    <w:basedOn w:val="Heading3"/>
    <w:rsid w:val="007C30B0"/>
    <w:pPr>
      <w:keepLines w:val="0"/>
      <w:spacing w:before="0"/>
    </w:pPr>
    <w:rPr>
      <w:rFonts w:ascii="HelvLight" w:eastAsia="Times New Roman" w:hAnsi="HelvLight" w:cs="Times New Roman"/>
      <w:bCs w:val="0"/>
      <w:snapToGrid w:val="0"/>
      <w:color w:val="auto"/>
      <w:sz w:val="20"/>
      <w:lang w:val="en-GB" w:eastAsia="en-US"/>
    </w:rPr>
  </w:style>
  <w:style w:type="paragraph" w:customStyle="1" w:styleId="mtrachead6">
    <w:name w:val="mtrac head 6"/>
    <w:basedOn w:val="Normal"/>
    <w:rsid w:val="007C30B0"/>
    <w:pPr>
      <w:spacing w:after="0"/>
    </w:pPr>
    <w:rPr>
      <w:rFonts w:ascii="HelvLight" w:eastAsia="Times New Roman" w:hAnsi="HelvLight" w:cs="Times New Roman"/>
      <w:i/>
      <w:snapToGrid w:val="0"/>
      <w:spacing w:val="-3"/>
      <w:sz w:val="20"/>
      <w:lang w:val="en-GB" w:eastAsia="en-US"/>
    </w:rPr>
  </w:style>
  <w:style w:type="paragraph" w:styleId="BodyText2">
    <w:name w:val="Body Text 2"/>
    <w:basedOn w:val="Normal"/>
    <w:link w:val="BodyText2Char"/>
    <w:rsid w:val="007C30B0"/>
    <w:pPr>
      <w:spacing w:after="0"/>
      <w:jc w:val="both"/>
    </w:pPr>
    <w:rPr>
      <w:rFonts w:ascii="HelvLight" w:eastAsia="Times New Roman" w:hAnsi="HelvLight" w:cs="Times New Roman"/>
      <w:sz w:val="20"/>
      <w:lang w:val="en-GB" w:eastAsia="en-GB"/>
    </w:rPr>
  </w:style>
  <w:style w:type="character" w:customStyle="1" w:styleId="BodyText2Char">
    <w:name w:val="Body Text 2 Char"/>
    <w:basedOn w:val="DefaultParagraphFont"/>
    <w:link w:val="BodyText2"/>
    <w:rsid w:val="007C30B0"/>
    <w:rPr>
      <w:rFonts w:ascii="HelvLight" w:eastAsia="Times New Roman" w:hAnsi="HelvLight" w:cs="Times New Roman"/>
      <w:sz w:val="20"/>
      <w:szCs w:val="20"/>
      <w:lang w:eastAsia="en-GB"/>
    </w:rPr>
  </w:style>
  <w:style w:type="character" w:customStyle="1" w:styleId="Heading3Char">
    <w:name w:val="Heading 3 Char"/>
    <w:basedOn w:val="DefaultParagraphFont"/>
    <w:link w:val="Heading3"/>
    <w:uiPriority w:val="9"/>
    <w:semiHidden/>
    <w:rsid w:val="007C30B0"/>
    <w:rPr>
      <w:rFonts w:asciiTheme="majorHAnsi" w:eastAsiaTheme="majorEastAsia" w:hAnsiTheme="majorHAnsi" w:cstheme="majorBidi"/>
      <w:b/>
      <w:bCs/>
      <w:color w:val="4F81BD" w:themeColor="accent1"/>
      <w:sz w:val="24"/>
      <w:szCs w:val="20"/>
      <w:lang w:val="en-US" w:eastAsia="ja-JP"/>
    </w:rPr>
  </w:style>
  <w:style w:type="paragraph" w:styleId="NormalWeb">
    <w:name w:val="Normal (Web)"/>
    <w:basedOn w:val="Normal"/>
    <w:uiPriority w:val="99"/>
    <w:rsid w:val="00282CE5"/>
    <w:pPr>
      <w:spacing w:before="100" w:beforeAutospacing="1" w:after="75"/>
    </w:pPr>
    <w:rPr>
      <w:rFonts w:ascii="Times New Roman" w:eastAsia="Times New Roman" w:hAnsi="Times New Roman" w:cs="Times New Roman"/>
      <w:color w:val="000000"/>
      <w:szCs w:val="24"/>
      <w:lang w:val="en-GB" w:eastAsia="en-GB"/>
    </w:rPr>
  </w:style>
  <w:style w:type="character" w:customStyle="1" w:styleId="Heading7Char">
    <w:name w:val="Heading 7 Char"/>
    <w:basedOn w:val="DefaultParagraphFont"/>
    <w:link w:val="Heading7"/>
    <w:rsid w:val="00282CE5"/>
    <w:rPr>
      <w:rFonts w:ascii="Times New Roman" w:eastAsia="Times New Roman" w:hAnsi="Times New Roman" w:cs="Times New Roman"/>
      <w:sz w:val="24"/>
      <w:szCs w:val="24"/>
      <w:lang w:eastAsia="en-GB"/>
    </w:rPr>
  </w:style>
  <w:style w:type="paragraph" w:customStyle="1" w:styleId="mtrachead5">
    <w:name w:val="mtrac head 5"/>
    <w:basedOn w:val="Footer"/>
    <w:rsid w:val="00282CE5"/>
    <w:pPr>
      <w:numPr>
        <w:ilvl w:val="12"/>
      </w:numPr>
      <w:tabs>
        <w:tab w:val="clear" w:pos="4153"/>
        <w:tab w:val="clear" w:pos="8306"/>
      </w:tabs>
      <w:jc w:val="both"/>
    </w:pPr>
    <w:rPr>
      <w:rFonts w:ascii="HelvLight" w:hAnsi="HelvLight"/>
      <w:snapToGrid w:val="0"/>
      <w:sz w:val="20"/>
      <w:szCs w:val="20"/>
      <w:lang w:val="en-GB"/>
    </w:rPr>
  </w:style>
  <w:style w:type="character" w:customStyle="1" w:styleId="Heading4Char">
    <w:name w:val="Heading 4 Char"/>
    <w:basedOn w:val="DefaultParagraphFont"/>
    <w:link w:val="Heading4"/>
    <w:uiPriority w:val="9"/>
    <w:semiHidden/>
    <w:rsid w:val="000407B7"/>
    <w:rPr>
      <w:rFonts w:asciiTheme="majorHAnsi" w:eastAsiaTheme="majorEastAsia" w:hAnsiTheme="majorHAnsi" w:cstheme="majorBidi"/>
      <w:b/>
      <w:bCs/>
      <w:i/>
      <w:iCs/>
      <w:color w:val="4F81BD" w:themeColor="accent1"/>
      <w:sz w:val="24"/>
      <w:szCs w:val="20"/>
      <w:lang w:val="en-US" w:eastAsia="ja-JP"/>
    </w:rPr>
  </w:style>
  <w:style w:type="paragraph" w:styleId="FootnoteText">
    <w:name w:val="footnote text"/>
    <w:basedOn w:val="Normal"/>
    <w:link w:val="FootnoteTextChar"/>
    <w:rsid w:val="000833EE"/>
    <w:pPr>
      <w:spacing w:after="0"/>
    </w:pPr>
    <w:rPr>
      <w:rFonts w:ascii="Times New Roman" w:eastAsia="Times New Roman" w:hAnsi="Times New Roman" w:cs="Times New Roman"/>
      <w:sz w:val="20"/>
      <w:lang w:eastAsia="en-US"/>
    </w:rPr>
  </w:style>
  <w:style w:type="character" w:customStyle="1" w:styleId="FootnoteTextChar">
    <w:name w:val="Footnote Text Char"/>
    <w:basedOn w:val="DefaultParagraphFont"/>
    <w:link w:val="FootnoteText"/>
    <w:rsid w:val="000833EE"/>
    <w:rPr>
      <w:rFonts w:ascii="Times New Roman" w:eastAsia="Times New Roman" w:hAnsi="Times New Roman" w:cs="Times New Roman"/>
      <w:sz w:val="20"/>
      <w:szCs w:val="20"/>
    </w:rPr>
  </w:style>
  <w:style w:type="character" w:styleId="FootnoteReference">
    <w:name w:val="footnote reference"/>
    <w:rsid w:val="000833EE"/>
    <w:rPr>
      <w:vertAlign w:val="superscript"/>
    </w:rPr>
  </w:style>
  <w:style w:type="paragraph" w:customStyle="1" w:styleId="Default">
    <w:name w:val="Default"/>
    <w:rsid w:val="004A38E7"/>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Indent">
    <w:name w:val="Body Text Indent"/>
    <w:basedOn w:val="Normal"/>
    <w:link w:val="BodyTextIndentChar"/>
    <w:uiPriority w:val="99"/>
    <w:semiHidden/>
    <w:unhideWhenUsed/>
    <w:rsid w:val="004A38E7"/>
    <w:pPr>
      <w:spacing w:after="120"/>
      <w:ind w:left="283"/>
    </w:pPr>
  </w:style>
  <w:style w:type="character" w:customStyle="1" w:styleId="BodyTextIndentChar">
    <w:name w:val="Body Text Indent Char"/>
    <w:basedOn w:val="DefaultParagraphFont"/>
    <w:link w:val="BodyTextIndent"/>
    <w:uiPriority w:val="99"/>
    <w:semiHidden/>
    <w:rsid w:val="004A38E7"/>
    <w:rPr>
      <w:rFonts w:eastAsiaTheme="minorEastAsia"/>
      <w:sz w:val="24"/>
      <w:szCs w:val="20"/>
      <w:lang w:val="en-US" w:eastAsia="ja-JP"/>
    </w:rPr>
  </w:style>
  <w:style w:type="character" w:styleId="Hyperlink">
    <w:name w:val="Hyperlink"/>
    <w:rsid w:val="004A38E7"/>
    <w:rPr>
      <w:color w:val="0000FF"/>
      <w:u w:val="single"/>
    </w:rPr>
  </w:style>
  <w:style w:type="paragraph" w:styleId="BodyText">
    <w:name w:val="Body Text"/>
    <w:basedOn w:val="Normal"/>
    <w:link w:val="BodyTextChar"/>
    <w:rsid w:val="004A38E7"/>
    <w:pPr>
      <w:spacing w:after="120"/>
    </w:pPr>
    <w:rPr>
      <w:rFonts w:ascii="Times New Roman" w:eastAsia="Times New Roman" w:hAnsi="Times New Roman" w:cs="Times New Roman"/>
      <w:szCs w:val="24"/>
      <w:lang w:val="en-GB" w:eastAsia="en-US"/>
    </w:rPr>
  </w:style>
  <w:style w:type="character" w:customStyle="1" w:styleId="BodyTextChar">
    <w:name w:val="Body Text Char"/>
    <w:basedOn w:val="DefaultParagraphFont"/>
    <w:link w:val="BodyText"/>
    <w:rsid w:val="004A38E7"/>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B5077"/>
    <w:rPr>
      <w:color w:val="800080" w:themeColor="followedHyperlink"/>
      <w:u w:val="single"/>
    </w:rPr>
  </w:style>
  <w:style w:type="character" w:customStyle="1" w:styleId="ListParagraphChar">
    <w:name w:val="List Paragraph Char"/>
    <w:link w:val="ListParagraph"/>
    <w:uiPriority w:val="99"/>
    <w:locked/>
    <w:rsid w:val="009D5773"/>
    <w:rPr>
      <w:rFonts w:ascii="Times New Roman" w:eastAsia="Times New Roman" w:hAnsi="Times New Roman" w:cs="Times New Roman"/>
      <w:sz w:val="24"/>
      <w:szCs w:val="24"/>
      <w:lang w:eastAsia="en-GB"/>
    </w:rPr>
  </w:style>
  <w:style w:type="table" w:customStyle="1" w:styleId="TableGrid1">
    <w:name w:val="Table Grid1"/>
    <w:basedOn w:val="TableNormal"/>
    <w:next w:val="TableGrid"/>
    <w:uiPriority w:val="59"/>
    <w:rsid w:val="00920F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CBD"/>
    <w:pPr>
      <w:spacing w:line="240" w:lineRule="auto"/>
    </w:pPr>
    <w:rPr>
      <w:rFonts w:eastAsiaTheme="minorEastAsia"/>
      <w:sz w:val="24"/>
      <w:szCs w:val="20"/>
      <w:lang w:val="en-US" w:eastAsia="ja-JP"/>
    </w:rPr>
  </w:style>
  <w:style w:type="paragraph" w:styleId="Heading1">
    <w:name w:val="heading 1"/>
    <w:basedOn w:val="Normal"/>
    <w:next w:val="Normal"/>
    <w:link w:val="Heading1Char"/>
    <w:uiPriority w:val="9"/>
    <w:qFormat/>
    <w:rsid w:val="00304CBD"/>
    <w:pPr>
      <w:spacing w:after="0" w:line="660" w:lineRule="exact"/>
      <w:outlineLvl w:val="0"/>
    </w:pPr>
    <w:rPr>
      <w:rFonts w:ascii="Arial" w:hAnsi="Arial" w:cs="Arial"/>
      <w:b/>
      <w:sz w:val="28"/>
      <w:szCs w:val="28"/>
      <w:lang w:val="en-GB" w:eastAsia="en-US"/>
    </w:rPr>
  </w:style>
  <w:style w:type="paragraph" w:styleId="Heading3">
    <w:name w:val="heading 3"/>
    <w:basedOn w:val="Normal"/>
    <w:next w:val="Normal"/>
    <w:link w:val="Heading3Char"/>
    <w:uiPriority w:val="9"/>
    <w:semiHidden/>
    <w:unhideWhenUsed/>
    <w:qFormat/>
    <w:rsid w:val="007C30B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407B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qFormat/>
    <w:rsid w:val="00282CE5"/>
    <w:pPr>
      <w:spacing w:before="240" w:after="60"/>
      <w:outlineLvl w:val="6"/>
    </w:pPr>
    <w:rPr>
      <w:rFonts w:ascii="Times New Roman" w:eastAsia="Times New Roman" w:hAnsi="Times New Roman" w:cs="Times New Roman"/>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CBD"/>
    <w:rPr>
      <w:rFonts w:ascii="Arial" w:eastAsiaTheme="minorEastAsia" w:hAnsi="Arial" w:cs="Arial"/>
      <w:b/>
      <w:sz w:val="28"/>
      <w:szCs w:val="28"/>
    </w:rPr>
  </w:style>
  <w:style w:type="table" w:styleId="TableGrid">
    <w:name w:val="Table Grid"/>
    <w:basedOn w:val="TableNormal"/>
    <w:uiPriority w:val="59"/>
    <w:rsid w:val="00304CBD"/>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04CBD"/>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rsid w:val="00712302"/>
    <w:pPr>
      <w:tabs>
        <w:tab w:val="center" w:pos="4153"/>
        <w:tab w:val="right" w:pos="8306"/>
      </w:tabs>
      <w:spacing w:after="0"/>
    </w:pPr>
    <w:rPr>
      <w:rFonts w:ascii="Times New Roman" w:eastAsia="Times New Roman" w:hAnsi="Times New Roman" w:cs="Times New Roman"/>
      <w:szCs w:val="24"/>
      <w:lang w:eastAsia="en-US"/>
    </w:rPr>
  </w:style>
  <w:style w:type="character" w:customStyle="1" w:styleId="HeaderChar">
    <w:name w:val="Header Char"/>
    <w:basedOn w:val="DefaultParagraphFont"/>
    <w:link w:val="Header"/>
    <w:uiPriority w:val="99"/>
    <w:rsid w:val="00712302"/>
    <w:rPr>
      <w:rFonts w:ascii="Times New Roman" w:eastAsia="Times New Roman" w:hAnsi="Times New Roman" w:cs="Times New Roman"/>
      <w:sz w:val="24"/>
      <w:szCs w:val="24"/>
    </w:rPr>
  </w:style>
  <w:style w:type="paragraph" w:styleId="Footer">
    <w:name w:val="footer"/>
    <w:basedOn w:val="Normal"/>
    <w:link w:val="FooterChar"/>
    <w:rsid w:val="00712302"/>
    <w:pPr>
      <w:tabs>
        <w:tab w:val="center" w:pos="4153"/>
        <w:tab w:val="right" w:pos="8306"/>
      </w:tabs>
      <w:spacing w:after="0"/>
    </w:pPr>
    <w:rPr>
      <w:rFonts w:ascii="Times New Roman" w:eastAsia="Times New Roman" w:hAnsi="Times New Roman" w:cs="Times New Roman"/>
      <w:szCs w:val="24"/>
      <w:lang w:eastAsia="en-US"/>
    </w:rPr>
  </w:style>
  <w:style w:type="character" w:customStyle="1" w:styleId="FooterChar">
    <w:name w:val="Footer Char"/>
    <w:basedOn w:val="DefaultParagraphFont"/>
    <w:link w:val="Footer"/>
    <w:rsid w:val="00712302"/>
    <w:rPr>
      <w:rFonts w:ascii="Times New Roman" w:eastAsia="Times New Roman" w:hAnsi="Times New Roman" w:cs="Times New Roman"/>
      <w:sz w:val="24"/>
      <w:szCs w:val="24"/>
    </w:rPr>
  </w:style>
  <w:style w:type="character" w:styleId="PageNumber">
    <w:name w:val="page number"/>
    <w:basedOn w:val="DefaultParagraphFont"/>
    <w:rsid w:val="00712302"/>
  </w:style>
  <w:style w:type="paragraph" w:styleId="BalloonText">
    <w:name w:val="Balloon Text"/>
    <w:basedOn w:val="Normal"/>
    <w:link w:val="BalloonTextChar"/>
    <w:uiPriority w:val="99"/>
    <w:semiHidden/>
    <w:unhideWhenUsed/>
    <w:rsid w:val="0071230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2302"/>
    <w:rPr>
      <w:rFonts w:ascii="Tahoma" w:eastAsiaTheme="minorEastAsia" w:hAnsi="Tahoma" w:cs="Tahoma"/>
      <w:sz w:val="16"/>
      <w:szCs w:val="16"/>
      <w:lang w:val="en-US" w:eastAsia="ja-JP"/>
    </w:rPr>
  </w:style>
  <w:style w:type="paragraph" w:customStyle="1" w:styleId="mtrachead3">
    <w:name w:val="mtrac head 3"/>
    <w:basedOn w:val="Heading3"/>
    <w:rsid w:val="007C30B0"/>
    <w:pPr>
      <w:keepLines w:val="0"/>
      <w:spacing w:before="0"/>
    </w:pPr>
    <w:rPr>
      <w:rFonts w:ascii="HelvLight" w:eastAsia="Times New Roman" w:hAnsi="HelvLight" w:cs="Times New Roman"/>
      <w:bCs w:val="0"/>
      <w:snapToGrid w:val="0"/>
      <w:color w:val="auto"/>
      <w:sz w:val="20"/>
      <w:lang w:val="en-GB" w:eastAsia="en-US"/>
    </w:rPr>
  </w:style>
  <w:style w:type="paragraph" w:customStyle="1" w:styleId="mtrachead6">
    <w:name w:val="mtrac head 6"/>
    <w:basedOn w:val="Normal"/>
    <w:rsid w:val="007C30B0"/>
    <w:pPr>
      <w:spacing w:after="0"/>
    </w:pPr>
    <w:rPr>
      <w:rFonts w:ascii="HelvLight" w:eastAsia="Times New Roman" w:hAnsi="HelvLight" w:cs="Times New Roman"/>
      <w:i/>
      <w:snapToGrid w:val="0"/>
      <w:spacing w:val="-3"/>
      <w:sz w:val="20"/>
      <w:lang w:val="en-GB" w:eastAsia="en-US"/>
    </w:rPr>
  </w:style>
  <w:style w:type="paragraph" w:styleId="BodyText2">
    <w:name w:val="Body Text 2"/>
    <w:basedOn w:val="Normal"/>
    <w:link w:val="BodyText2Char"/>
    <w:rsid w:val="007C30B0"/>
    <w:pPr>
      <w:spacing w:after="0"/>
      <w:jc w:val="both"/>
    </w:pPr>
    <w:rPr>
      <w:rFonts w:ascii="HelvLight" w:eastAsia="Times New Roman" w:hAnsi="HelvLight" w:cs="Times New Roman"/>
      <w:sz w:val="20"/>
      <w:lang w:val="en-GB" w:eastAsia="en-GB"/>
    </w:rPr>
  </w:style>
  <w:style w:type="character" w:customStyle="1" w:styleId="BodyText2Char">
    <w:name w:val="Body Text 2 Char"/>
    <w:basedOn w:val="DefaultParagraphFont"/>
    <w:link w:val="BodyText2"/>
    <w:rsid w:val="007C30B0"/>
    <w:rPr>
      <w:rFonts w:ascii="HelvLight" w:eastAsia="Times New Roman" w:hAnsi="HelvLight" w:cs="Times New Roman"/>
      <w:sz w:val="20"/>
      <w:szCs w:val="20"/>
      <w:lang w:eastAsia="en-GB"/>
    </w:rPr>
  </w:style>
  <w:style w:type="character" w:customStyle="1" w:styleId="Heading3Char">
    <w:name w:val="Heading 3 Char"/>
    <w:basedOn w:val="DefaultParagraphFont"/>
    <w:link w:val="Heading3"/>
    <w:uiPriority w:val="9"/>
    <w:semiHidden/>
    <w:rsid w:val="007C30B0"/>
    <w:rPr>
      <w:rFonts w:asciiTheme="majorHAnsi" w:eastAsiaTheme="majorEastAsia" w:hAnsiTheme="majorHAnsi" w:cstheme="majorBidi"/>
      <w:b/>
      <w:bCs/>
      <w:color w:val="4F81BD" w:themeColor="accent1"/>
      <w:sz w:val="24"/>
      <w:szCs w:val="20"/>
      <w:lang w:val="en-US" w:eastAsia="ja-JP"/>
    </w:rPr>
  </w:style>
  <w:style w:type="paragraph" w:styleId="NormalWeb">
    <w:name w:val="Normal (Web)"/>
    <w:basedOn w:val="Normal"/>
    <w:uiPriority w:val="99"/>
    <w:rsid w:val="00282CE5"/>
    <w:pPr>
      <w:spacing w:before="100" w:beforeAutospacing="1" w:after="75"/>
    </w:pPr>
    <w:rPr>
      <w:rFonts w:ascii="Times New Roman" w:eastAsia="Times New Roman" w:hAnsi="Times New Roman" w:cs="Times New Roman"/>
      <w:color w:val="000000"/>
      <w:szCs w:val="24"/>
      <w:lang w:val="en-GB" w:eastAsia="en-GB"/>
    </w:rPr>
  </w:style>
  <w:style w:type="character" w:customStyle="1" w:styleId="Heading7Char">
    <w:name w:val="Heading 7 Char"/>
    <w:basedOn w:val="DefaultParagraphFont"/>
    <w:link w:val="Heading7"/>
    <w:rsid w:val="00282CE5"/>
    <w:rPr>
      <w:rFonts w:ascii="Times New Roman" w:eastAsia="Times New Roman" w:hAnsi="Times New Roman" w:cs="Times New Roman"/>
      <w:sz w:val="24"/>
      <w:szCs w:val="24"/>
      <w:lang w:eastAsia="en-GB"/>
    </w:rPr>
  </w:style>
  <w:style w:type="paragraph" w:customStyle="1" w:styleId="mtrachead5">
    <w:name w:val="mtrac head 5"/>
    <w:basedOn w:val="Footer"/>
    <w:rsid w:val="00282CE5"/>
    <w:pPr>
      <w:numPr>
        <w:ilvl w:val="12"/>
      </w:numPr>
      <w:tabs>
        <w:tab w:val="clear" w:pos="4153"/>
        <w:tab w:val="clear" w:pos="8306"/>
      </w:tabs>
      <w:jc w:val="both"/>
    </w:pPr>
    <w:rPr>
      <w:rFonts w:ascii="HelvLight" w:hAnsi="HelvLight"/>
      <w:snapToGrid w:val="0"/>
      <w:sz w:val="20"/>
      <w:szCs w:val="20"/>
      <w:lang w:val="en-GB"/>
    </w:rPr>
  </w:style>
  <w:style w:type="character" w:customStyle="1" w:styleId="Heading4Char">
    <w:name w:val="Heading 4 Char"/>
    <w:basedOn w:val="DefaultParagraphFont"/>
    <w:link w:val="Heading4"/>
    <w:uiPriority w:val="9"/>
    <w:semiHidden/>
    <w:rsid w:val="000407B7"/>
    <w:rPr>
      <w:rFonts w:asciiTheme="majorHAnsi" w:eastAsiaTheme="majorEastAsia" w:hAnsiTheme="majorHAnsi" w:cstheme="majorBidi"/>
      <w:b/>
      <w:bCs/>
      <w:i/>
      <w:iCs/>
      <w:color w:val="4F81BD" w:themeColor="accent1"/>
      <w:sz w:val="24"/>
      <w:szCs w:val="20"/>
      <w:lang w:val="en-US" w:eastAsia="ja-JP"/>
    </w:rPr>
  </w:style>
  <w:style w:type="paragraph" w:styleId="FootnoteText">
    <w:name w:val="footnote text"/>
    <w:basedOn w:val="Normal"/>
    <w:link w:val="FootnoteTextChar"/>
    <w:rsid w:val="000833EE"/>
    <w:pPr>
      <w:spacing w:after="0"/>
    </w:pPr>
    <w:rPr>
      <w:rFonts w:ascii="Times New Roman" w:eastAsia="Times New Roman" w:hAnsi="Times New Roman" w:cs="Times New Roman"/>
      <w:sz w:val="20"/>
      <w:lang w:eastAsia="en-US"/>
    </w:rPr>
  </w:style>
  <w:style w:type="character" w:customStyle="1" w:styleId="FootnoteTextChar">
    <w:name w:val="Footnote Text Char"/>
    <w:basedOn w:val="DefaultParagraphFont"/>
    <w:link w:val="FootnoteText"/>
    <w:rsid w:val="000833EE"/>
    <w:rPr>
      <w:rFonts w:ascii="Times New Roman" w:eastAsia="Times New Roman" w:hAnsi="Times New Roman" w:cs="Times New Roman"/>
      <w:sz w:val="20"/>
      <w:szCs w:val="20"/>
    </w:rPr>
  </w:style>
  <w:style w:type="character" w:styleId="FootnoteReference">
    <w:name w:val="footnote reference"/>
    <w:rsid w:val="000833EE"/>
    <w:rPr>
      <w:vertAlign w:val="superscript"/>
    </w:rPr>
  </w:style>
  <w:style w:type="paragraph" w:customStyle="1" w:styleId="Default">
    <w:name w:val="Default"/>
    <w:rsid w:val="004A38E7"/>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Indent">
    <w:name w:val="Body Text Indent"/>
    <w:basedOn w:val="Normal"/>
    <w:link w:val="BodyTextIndentChar"/>
    <w:uiPriority w:val="99"/>
    <w:semiHidden/>
    <w:unhideWhenUsed/>
    <w:rsid w:val="004A38E7"/>
    <w:pPr>
      <w:spacing w:after="120"/>
      <w:ind w:left="283"/>
    </w:pPr>
  </w:style>
  <w:style w:type="character" w:customStyle="1" w:styleId="BodyTextIndentChar">
    <w:name w:val="Body Text Indent Char"/>
    <w:basedOn w:val="DefaultParagraphFont"/>
    <w:link w:val="BodyTextIndent"/>
    <w:uiPriority w:val="99"/>
    <w:semiHidden/>
    <w:rsid w:val="004A38E7"/>
    <w:rPr>
      <w:rFonts w:eastAsiaTheme="minorEastAsia"/>
      <w:sz w:val="24"/>
      <w:szCs w:val="20"/>
      <w:lang w:val="en-US" w:eastAsia="ja-JP"/>
    </w:rPr>
  </w:style>
  <w:style w:type="character" w:styleId="Hyperlink">
    <w:name w:val="Hyperlink"/>
    <w:rsid w:val="004A38E7"/>
    <w:rPr>
      <w:color w:val="0000FF"/>
      <w:u w:val="single"/>
    </w:rPr>
  </w:style>
  <w:style w:type="paragraph" w:styleId="BodyText">
    <w:name w:val="Body Text"/>
    <w:basedOn w:val="Normal"/>
    <w:link w:val="BodyTextChar"/>
    <w:rsid w:val="004A38E7"/>
    <w:pPr>
      <w:spacing w:after="120"/>
    </w:pPr>
    <w:rPr>
      <w:rFonts w:ascii="Times New Roman" w:eastAsia="Times New Roman" w:hAnsi="Times New Roman" w:cs="Times New Roman"/>
      <w:szCs w:val="24"/>
      <w:lang w:val="en-GB" w:eastAsia="en-US"/>
    </w:rPr>
  </w:style>
  <w:style w:type="character" w:customStyle="1" w:styleId="BodyTextChar">
    <w:name w:val="Body Text Char"/>
    <w:basedOn w:val="DefaultParagraphFont"/>
    <w:link w:val="BodyText"/>
    <w:rsid w:val="004A38E7"/>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B50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png"/><Relationship Id="rId26" Type="http://schemas.openxmlformats.org/officeDocument/2006/relationships/hyperlink" Target="mailto:Peter.ryan1@nhs.net" TargetMode="External"/><Relationship Id="rId3" Type="http://schemas.openxmlformats.org/officeDocument/2006/relationships/styles" Target="styles.xml"/><Relationship Id="rId21" Type="http://schemas.openxmlformats.org/officeDocument/2006/relationships/hyperlink" Target="mailto:Daniel.ford@heartofengland.nhs.uk"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mailto:Rick.Vinney@uhb.nhs.uk"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mailto:Bhupendra.sarmah@heartofengland.nhs.uk" TargetMode="Externa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mailto:carole.evans2@nhs.net"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mailto:Christine.broderick@heartofengland.nhs.uk"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Manu.nair@heartofengland.nhs.uk" TargetMode="External"/><Relationship Id="rId31"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http://www.nice.org.uk/nicemedia/live/14348/66226/66226.pdf" TargetMode="External"/><Relationship Id="rId14" Type="http://schemas.openxmlformats.org/officeDocument/2006/relationships/header" Target="header3.xml"/><Relationship Id="rId22" Type="http://schemas.openxmlformats.org/officeDocument/2006/relationships/hyperlink" Target="mailto:Nula.allen@heartofengland.nhs.uk" TargetMode="External"/><Relationship Id="rId27" Type="http://schemas.openxmlformats.org/officeDocument/2006/relationships/fontTable" Target="fontTable.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Props1.xml><?xml version="1.0" encoding="utf-8"?>
<ds:datastoreItem xmlns:ds="http://schemas.openxmlformats.org/officeDocument/2006/customXml" ds:itemID="{47EC038A-C408-43D7-A3CC-7F1FD97CB1F9}">
  <ds:schemaRefs>
    <ds:schemaRef ds:uri="http://schemas.openxmlformats.org/officeDocument/2006/bibliography"/>
  </ds:schemaRefs>
</ds:datastoreItem>
</file>

<file path=customXml/itemProps2.xml><?xml version="1.0" encoding="utf-8"?>
<ds:datastoreItem xmlns:ds="http://schemas.openxmlformats.org/officeDocument/2006/customXml" ds:itemID="{0986B8E2-5607-4D3B-9B90-1FABDBE910C8}"/>
</file>

<file path=customXml/itemProps3.xml><?xml version="1.0" encoding="utf-8"?>
<ds:datastoreItem xmlns:ds="http://schemas.openxmlformats.org/officeDocument/2006/customXml" ds:itemID="{F783F131-8490-4888-B468-301264863814}"/>
</file>

<file path=customXml/itemProps4.xml><?xml version="1.0" encoding="utf-8"?>
<ds:datastoreItem xmlns:ds="http://schemas.openxmlformats.org/officeDocument/2006/customXml" ds:itemID="{184CAD0E-B827-474B-A9CF-2F143CC4E0D0}"/>
</file>

<file path=docProps/app.xml><?xml version="1.0" encoding="utf-8"?>
<Properties xmlns="http://schemas.openxmlformats.org/officeDocument/2006/extended-properties" xmlns:vt="http://schemas.openxmlformats.org/officeDocument/2006/docPropsVTypes">
  <Template>Normal</Template>
  <TotalTime>74</TotalTime>
  <Pages>27</Pages>
  <Words>6678</Words>
  <Characters>38067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Solihull PCT</Company>
  <LinksUpToDate>false</LinksUpToDate>
  <CharactersWithSpaces>44656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Atkinson Matt</dc:creator>
  <cp:lastModifiedBy>Hadley Andy (CCG) SESCCG</cp:lastModifiedBy>
  <cp:revision>11</cp:revision>
  <cp:lastPrinted>2014-03-05T16:28:00Z</cp:lastPrinted>
  <dcterms:created xsi:type="dcterms:W3CDTF">2014-03-12T20:53:00Z</dcterms:created>
  <dcterms:modified xsi:type="dcterms:W3CDTF">2014-05-02T13:42:00Z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ies>
</file>